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overflowPunct/>
        <w:topLinePunct w:val="0"/>
        <w:autoSpaceDE/>
        <w:autoSpaceDN/>
        <w:bidi w:val="0"/>
        <w:adjustRightInd/>
        <w:snapToGrid/>
        <w:spacing w:line="600" w:lineRule="exact"/>
        <w:ind w:left="0" w:leftChars="0" w:right="0" w:rightChars="0"/>
        <w:jc w:val="center"/>
        <w:rPr>
          <w:rFonts w:hint="eastAsia" w:ascii="宋体" w:hAnsi="宋体" w:eastAsia="宋体" w:cs="宋体"/>
          <w:b/>
          <w:sz w:val="44"/>
          <w:szCs w:val="44"/>
        </w:rPr>
      </w:pPr>
      <w:r>
        <w:rPr>
          <w:rFonts w:hint="eastAsia" w:ascii="宋体" w:hAnsi="宋体" w:eastAsia="宋体" w:cs="宋体"/>
          <w:b/>
          <w:sz w:val="44"/>
          <w:szCs w:val="44"/>
        </w:rPr>
        <w:t>资产状况及瑕疵声明</w:t>
      </w:r>
    </w:p>
    <w:p>
      <w:pPr>
        <w:pageBreakBefore w:val="0"/>
        <w:numPr>
          <w:ilvl w:val="0"/>
          <w:numId w:val="0"/>
        </w:numPr>
        <w:kinsoku/>
        <w:overflowPunct/>
        <w:topLinePunct w:val="0"/>
        <w:autoSpaceDE/>
        <w:autoSpaceDN/>
        <w:bidi w:val="0"/>
        <w:adjustRightInd/>
        <w:snapToGrid/>
        <w:spacing w:line="600" w:lineRule="exact"/>
        <w:ind w:left="0" w:leftChars="0" w:right="0" w:rightChars="0"/>
        <w:rPr>
          <w:rFonts w:hint="eastAsia" w:ascii="宋体" w:hAnsi="宋体" w:eastAsia="宋体" w:cs="宋体"/>
          <w:sz w:val="24"/>
          <w:lang w:val="en-US" w:eastAsia="zh-CN"/>
        </w:rPr>
      </w:pP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rPr>
        <w:t xml:space="preserve"> </w:t>
      </w:r>
      <w:r>
        <w:rPr>
          <w:rFonts w:hint="eastAsia" w:ascii="黑体" w:hAnsi="黑体" w:eastAsia="黑体" w:cs="黑体"/>
          <w:sz w:val="32"/>
          <w:szCs w:val="32"/>
          <w:highlight w:val="none"/>
          <w:lang w:eastAsia="zh-CN"/>
        </w:rPr>
        <w:t>一、拟转让的标的资产状况</w:t>
      </w:r>
    </w:p>
    <w:p>
      <w:pPr>
        <w:pageBreakBefore w:val="0"/>
        <w:kinsoku/>
        <w:overflowPunct/>
        <w:topLinePunct w:val="0"/>
        <w:autoSpaceDE/>
        <w:autoSpaceDN/>
        <w:bidi w:val="0"/>
        <w:adjustRightInd/>
        <w:snapToGrid/>
        <w:spacing w:line="600" w:lineRule="exact"/>
        <w:ind w:left="0" w:leftChars="0" w:right="0" w:rightChars="0" w:firstLine="640" w:firstLineChars="200"/>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标的资产（债权</w:t>
      </w:r>
      <w:r>
        <w:rPr>
          <w:rFonts w:hint="eastAsia" w:ascii="仿宋_GB2312" w:hAnsi="仿宋_GB2312" w:eastAsia="仿宋_GB2312" w:cs="仿宋_GB2312"/>
          <w:sz w:val="32"/>
          <w:szCs w:val="32"/>
          <w:lang w:val="en-US" w:eastAsia="zh-CN"/>
        </w:rPr>
        <w:t>及抵债资产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rPr>
        <w:t>中国</w:t>
      </w:r>
      <w:r>
        <w:rPr>
          <w:rFonts w:hint="eastAsia" w:ascii="仿宋_GB2312" w:hAnsi="仿宋_GB2312" w:eastAsia="仿宋_GB2312" w:cs="仿宋_GB2312"/>
          <w:color w:val="auto"/>
          <w:sz w:val="32"/>
          <w:szCs w:val="32"/>
          <w:lang w:eastAsia="zh-CN"/>
        </w:rPr>
        <w:t>中信金融资产</w:t>
      </w:r>
      <w:r>
        <w:rPr>
          <w:rFonts w:hint="eastAsia" w:ascii="仿宋_GB2312" w:hAnsi="仿宋_GB2312" w:eastAsia="仿宋_GB2312" w:cs="仿宋_GB2312"/>
          <w:color w:val="auto"/>
          <w:sz w:val="32"/>
          <w:szCs w:val="32"/>
        </w:rPr>
        <w:t>资产管理股份有限公司</w:t>
      </w:r>
      <w:r>
        <w:rPr>
          <w:rFonts w:hint="eastAsia" w:ascii="仿宋_GB2312" w:hAnsi="仿宋_GB2312" w:eastAsia="仿宋_GB2312" w:cs="仿宋_GB2312"/>
          <w:color w:val="auto"/>
          <w:sz w:val="32"/>
          <w:szCs w:val="32"/>
          <w:lang w:eastAsia="zh-CN"/>
        </w:rPr>
        <w:t>吉林</w:t>
      </w:r>
      <w:r>
        <w:rPr>
          <w:rFonts w:hint="eastAsia" w:ascii="仿宋_GB2312" w:hAnsi="仿宋_GB2312" w:eastAsia="仿宋_GB2312" w:cs="仿宋_GB2312"/>
          <w:color w:val="auto"/>
          <w:sz w:val="32"/>
          <w:szCs w:val="32"/>
        </w:rPr>
        <w:t>省分公司（以下简称“</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sz w:val="32"/>
          <w:szCs w:val="32"/>
          <w:lang w:val="en-US" w:eastAsia="zh-CN"/>
        </w:rPr>
        <w:t>债权资产及抵债资产。</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截止</w:t>
      </w:r>
      <w:r>
        <w:rPr>
          <w:rFonts w:hint="eastAsia" w:ascii="仿宋_GB2312" w:hAnsi="仿宋_GB2312" w:eastAsia="仿宋_GB2312" w:cs="仿宋_GB2312"/>
          <w:sz w:val="32"/>
          <w:szCs w:val="32"/>
          <w:lang w:val="en-US" w:eastAsia="zh-CN"/>
        </w:rPr>
        <w:t>2024年10月20日</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rPr>
        <w:t>拥有</w:t>
      </w:r>
      <w:r>
        <w:rPr>
          <w:rFonts w:hint="eastAsia" w:ascii="仿宋_GB2312" w:hAnsi="仿宋_GB2312" w:eastAsia="仿宋_GB2312" w:cs="仿宋_GB2312"/>
          <w:sz w:val="32"/>
          <w:szCs w:val="32"/>
          <w:lang w:val="en-US" w:eastAsia="zh-CN"/>
        </w:rPr>
        <w:t>对吉林市金晟房地产开发有限公司</w:t>
      </w:r>
      <w:r>
        <w:rPr>
          <w:rFonts w:hint="eastAsia" w:ascii="仿宋_GB2312" w:hAnsi="仿宋_GB2312" w:eastAsia="仿宋_GB2312" w:cs="仿宋_GB2312"/>
          <w:sz w:val="32"/>
          <w:szCs w:val="32"/>
          <w:lang w:eastAsia="zh-CN"/>
        </w:rPr>
        <w:t>债权资产</w:t>
      </w:r>
      <w:r>
        <w:rPr>
          <w:rFonts w:hint="eastAsia" w:ascii="仿宋_GB2312" w:hAnsi="仿宋_GB2312" w:eastAsia="仿宋_GB2312" w:cs="仿宋_GB2312"/>
          <w:sz w:val="32"/>
          <w:szCs w:val="32"/>
          <w:lang w:val="en-US" w:eastAsia="zh-CN"/>
        </w:rPr>
        <w:t>合计51，655.25万元</w:t>
      </w:r>
      <w:r>
        <w:rPr>
          <w:rFonts w:hint="eastAsia" w:ascii="仿宋_GB2312" w:hAnsi="仿宋_GB2312" w:eastAsia="仿宋_GB2312" w:cs="仿宋_GB2312"/>
          <w:sz w:val="32"/>
          <w:szCs w:val="32"/>
        </w:rPr>
        <w:t>，其中：本</w:t>
      </w:r>
      <w:r>
        <w:rPr>
          <w:rFonts w:hint="eastAsia" w:ascii="仿宋_GB2312" w:hAnsi="仿宋_GB2312" w:eastAsia="仿宋_GB2312" w:cs="仿宋_GB2312"/>
          <w:sz w:val="32"/>
          <w:szCs w:val="32"/>
          <w:lang w:val="en-US" w:eastAsia="zh-CN"/>
        </w:rPr>
        <w:t>金25,000万</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val="en-US" w:eastAsia="zh-CN"/>
        </w:rPr>
        <w:t>重组宽限补偿金26,433.45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 xml:space="preserve">，其他代垫费用221.80万元。   </w:t>
      </w:r>
    </w:p>
    <w:tbl>
      <w:tblPr>
        <w:tblStyle w:val="7"/>
        <w:tblW w:w="0" w:type="auto"/>
        <w:tblInd w:w="0" w:type="dxa"/>
        <w:tblLayout w:type="fixed"/>
        <w:tblCellMar>
          <w:top w:w="0" w:type="dxa"/>
          <w:left w:w="0" w:type="dxa"/>
          <w:bottom w:w="0" w:type="dxa"/>
          <w:right w:w="0" w:type="dxa"/>
        </w:tblCellMar>
      </w:tblPr>
      <w:tblGrid>
        <w:gridCol w:w="320"/>
        <w:gridCol w:w="529"/>
        <w:gridCol w:w="564"/>
        <w:gridCol w:w="993"/>
        <w:gridCol w:w="930"/>
        <w:gridCol w:w="1067"/>
        <w:gridCol w:w="1418"/>
        <w:gridCol w:w="2515"/>
      </w:tblGrid>
      <w:tr>
        <w:tblPrEx>
          <w:tblCellMar>
            <w:top w:w="0" w:type="dxa"/>
            <w:left w:w="0" w:type="dxa"/>
            <w:bottom w:w="0" w:type="dxa"/>
            <w:right w:w="0" w:type="dxa"/>
          </w:tblCellMar>
        </w:tblPrEx>
        <w:trPr>
          <w:trHeight w:val="520" w:hRule="atLeast"/>
        </w:trPr>
        <w:tc>
          <w:tcPr>
            <w:tcW w:w="3336" w:type="dxa"/>
            <w:gridSpan w:val="5"/>
            <w:tcBorders>
              <w:top w:val="nil"/>
              <w:left w:val="nil"/>
              <w:bottom w:val="single" w:color="auto" w:sz="4" w:space="0"/>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p>
        </w:tc>
        <w:tc>
          <w:tcPr>
            <w:tcW w:w="1067" w:type="dxa"/>
            <w:tcBorders>
              <w:top w:val="nil"/>
              <w:left w:val="nil"/>
              <w:bottom w:val="single" w:color="auto" w:sz="4" w:space="0"/>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p>
        </w:tc>
        <w:tc>
          <w:tcPr>
            <w:tcW w:w="1418" w:type="dxa"/>
            <w:tcBorders>
              <w:top w:val="nil"/>
              <w:left w:val="nil"/>
              <w:bottom w:val="single" w:color="auto" w:sz="4" w:space="0"/>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p>
        </w:tc>
        <w:tc>
          <w:tcPr>
            <w:tcW w:w="2515" w:type="dxa"/>
            <w:tcBorders>
              <w:top w:val="nil"/>
              <w:left w:val="nil"/>
              <w:bottom w:val="single" w:color="auto" w:sz="4" w:space="0"/>
              <w:right w:val="nil"/>
            </w:tcBorders>
            <w:noWrap w:val="0"/>
            <w:tcMar>
              <w:top w:w="15" w:type="dxa"/>
              <w:left w:w="15" w:type="dxa"/>
              <w:right w:w="15" w:type="dxa"/>
            </w:tcMar>
            <w:vAlign w:val="center"/>
          </w:tcPr>
          <w:p>
            <w:pPr>
              <w:keepNext w:val="0"/>
              <w:keepLines w:val="0"/>
              <w:widowControl/>
              <w:suppressLineNumbers w:val="0"/>
              <w:jc w:val="right"/>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单位：万元</w:t>
            </w:r>
          </w:p>
        </w:tc>
      </w:tr>
      <w:tr>
        <w:tblPrEx>
          <w:tblCellMar>
            <w:top w:w="0" w:type="dxa"/>
            <w:left w:w="0" w:type="dxa"/>
            <w:bottom w:w="0" w:type="dxa"/>
            <w:right w:w="0" w:type="dxa"/>
          </w:tblCellMar>
        </w:tblPrEx>
        <w:trPr>
          <w:trHeight w:val="520" w:hRule="atLeast"/>
        </w:trPr>
        <w:tc>
          <w:tcPr>
            <w:tcW w:w="320"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序号</w:t>
            </w:r>
          </w:p>
        </w:tc>
        <w:tc>
          <w:tcPr>
            <w:tcW w:w="529"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项目位置</w:t>
            </w:r>
          </w:p>
        </w:tc>
        <w:tc>
          <w:tcPr>
            <w:tcW w:w="564"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资产类型</w:t>
            </w:r>
          </w:p>
        </w:tc>
        <w:tc>
          <w:tcPr>
            <w:tcW w:w="993"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债务人（或产权持有人）</w:t>
            </w:r>
          </w:p>
        </w:tc>
        <w:tc>
          <w:tcPr>
            <w:tcW w:w="930"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债权本金（或抵债价值）</w:t>
            </w:r>
          </w:p>
        </w:tc>
        <w:tc>
          <w:tcPr>
            <w:tcW w:w="1067"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lang w:val="en-US"/>
              </w:rPr>
            </w:pPr>
            <w:r>
              <w:rPr>
                <w:rFonts w:hint="eastAsia" w:ascii="仿宋_GB2312" w:hAnsi="仿宋_GB2312" w:eastAsia="仿宋_GB2312" w:cs="仿宋_GB2312"/>
                <w:i w:val="0"/>
                <w:color w:val="262626"/>
                <w:kern w:val="0"/>
                <w:sz w:val="21"/>
                <w:szCs w:val="21"/>
                <w:u w:val="none"/>
                <w:lang w:val="en-US" w:eastAsia="zh-CN" w:bidi="ar"/>
              </w:rPr>
              <w:t>债权利息及代垫费用</w:t>
            </w:r>
          </w:p>
        </w:tc>
        <w:tc>
          <w:tcPr>
            <w:tcW w:w="1418"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保证人</w:t>
            </w:r>
          </w:p>
        </w:tc>
        <w:tc>
          <w:tcPr>
            <w:tcW w:w="251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sz w:val="21"/>
                <w:szCs w:val="21"/>
                <w:u w:val="none"/>
              </w:rPr>
            </w:pPr>
            <w:r>
              <w:rPr>
                <w:rFonts w:hint="eastAsia" w:ascii="仿宋_GB2312" w:hAnsi="仿宋_GB2312" w:eastAsia="仿宋_GB2312" w:cs="仿宋_GB2312"/>
                <w:i w:val="0"/>
                <w:color w:val="262626"/>
                <w:kern w:val="0"/>
                <w:sz w:val="21"/>
                <w:szCs w:val="21"/>
                <w:u w:val="none"/>
                <w:lang w:val="en-US" w:eastAsia="zh-CN" w:bidi="ar"/>
              </w:rPr>
              <w:t>抵质押物情况（或抵债资产情况）</w:t>
            </w:r>
          </w:p>
        </w:tc>
      </w:tr>
      <w:tr>
        <w:tblPrEx>
          <w:tblCellMar>
            <w:top w:w="0" w:type="dxa"/>
            <w:left w:w="0" w:type="dxa"/>
            <w:bottom w:w="0" w:type="dxa"/>
            <w:right w:w="0" w:type="dxa"/>
          </w:tblCellMar>
        </w:tblPrEx>
        <w:trPr>
          <w:trHeight w:val="1000" w:hRule="atLeast"/>
        </w:trPr>
        <w:tc>
          <w:tcPr>
            <w:tcW w:w="3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1</w:t>
            </w:r>
          </w:p>
        </w:tc>
        <w:tc>
          <w:tcPr>
            <w:tcW w:w="52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吉林省吉林市</w:t>
            </w:r>
          </w:p>
        </w:tc>
        <w:tc>
          <w:tcPr>
            <w:tcW w:w="5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受托处置资产</w:t>
            </w:r>
          </w:p>
        </w:tc>
        <w:tc>
          <w:tcPr>
            <w:tcW w:w="99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吉林市金晟房地产开发有限公司</w:t>
            </w:r>
          </w:p>
        </w:tc>
        <w:tc>
          <w:tcPr>
            <w:tcW w:w="9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25,000</w:t>
            </w:r>
          </w:p>
        </w:tc>
        <w:tc>
          <w:tcPr>
            <w:tcW w:w="10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sz w:val="21"/>
                <w:szCs w:val="21"/>
                <w:u w:val="none"/>
                <w:lang w:val="en-US" w:eastAsia="zh-CN"/>
              </w:rPr>
              <w:t>26,655.25</w:t>
            </w:r>
          </w:p>
        </w:tc>
        <w:tc>
          <w:tcPr>
            <w:tcW w:w="141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sz w:val="21"/>
                <w:szCs w:val="21"/>
                <w:u w:val="none"/>
                <w:lang w:val="en-US" w:eastAsia="zh-CN"/>
              </w:rPr>
              <w:t>天然城市开发集团有限公司、蓝宁、吉林市泰安房地产开发有限公司</w:t>
            </w:r>
          </w:p>
        </w:tc>
        <w:tc>
          <w:tcPr>
            <w:tcW w:w="25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①抵押物位于吉林市昌邑区中京城小区的1599套在建工程；</w:t>
            </w:r>
          </w:p>
          <w:p>
            <w:pPr>
              <w:keepNext w:val="0"/>
              <w:keepLines w:val="0"/>
              <w:widowControl/>
              <w:suppressLineNumbers w:val="0"/>
              <w:jc w:val="left"/>
              <w:textAlignment w:val="center"/>
              <w:rPr>
                <w:rFonts w:hint="default" w:ascii="仿宋_GB2312" w:hAnsi="仿宋_GB2312" w:eastAsia="仿宋_GB2312" w:cs="仿宋_GB2312"/>
                <w:i w:val="0"/>
                <w:color w:val="262626"/>
                <w:kern w:val="0"/>
                <w:sz w:val="21"/>
                <w:szCs w:val="21"/>
                <w:u w:val="none"/>
                <w:lang w:val="en-US" w:eastAsia="zh-CN" w:bidi="ar"/>
              </w:rPr>
            </w:pPr>
            <w:r>
              <w:rPr>
                <w:rFonts w:hint="eastAsia" w:ascii="仿宋_GB2312" w:hAnsi="仿宋_GB2312" w:eastAsia="仿宋_GB2312" w:cs="仿宋_GB2312"/>
                <w:i w:val="0"/>
                <w:color w:val="262626"/>
                <w:kern w:val="0"/>
                <w:sz w:val="21"/>
                <w:szCs w:val="21"/>
                <w:u w:val="none"/>
                <w:lang w:val="en-US" w:eastAsia="zh-CN" w:bidi="ar"/>
              </w:rPr>
              <w:t>②抵债资产位于吉林市昌邑区望云街510号吉林天然·枫叶山庄13套在建工程，面积1,557.54平方米。</w:t>
            </w:r>
          </w:p>
        </w:tc>
      </w:tr>
    </w:tbl>
    <w:p>
      <w:pPr>
        <w:pStyle w:val="4"/>
        <w:rPr>
          <w:rFonts w:hint="eastAsia"/>
          <w:lang w:val="en-US" w:eastAsia="zh-CN"/>
        </w:rPr>
      </w:pP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上述</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及资产权益按现状转让</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担保情况及时效状况</w:t>
      </w:r>
      <w:r>
        <w:rPr>
          <w:rFonts w:hint="eastAsia" w:ascii="仿宋_GB2312" w:hAnsi="仿宋_GB2312" w:eastAsia="仿宋_GB2312" w:cs="仿宋_GB2312"/>
          <w:sz w:val="32"/>
          <w:szCs w:val="32"/>
          <w:highlight w:val="none"/>
          <w:lang w:val="en-US" w:eastAsia="zh-CN"/>
        </w:rPr>
        <w:t>竞买人</w:t>
      </w:r>
      <w:r>
        <w:rPr>
          <w:rFonts w:hint="eastAsia" w:ascii="仿宋_GB2312" w:hAnsi="仿宋_GB2312" w:eastAsia="仿宋_GB2312" w:cs="仿宋_GB2312"/>
          <w:sz w:val="32"/>
          <w:szCs w:val="32"/>
          <w:highlight w:val="none"/>
        </w:rPr>
        <w:t>自行了解清楚，</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不做任何承诺，不承担任何责任。</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二、标的</w:t>
      </w:r>
      <w:r>
        <w:rPr>
          <w:rFonts w:hint="eastAsia" w:ascii="黑体" w:hAnsi="黑体" w:eastAsia="黑体" w:cs="黑体"/>
          <w:sz w:val="32"/>
          <w:szCs w:val="32"/>
          <w:highlight w:val="none"/>
        </w:rPr>
        <w:t>资产瑕疵</w:t>
      </w:r>
      <w:r>
        <w:rPr>
          <w:rFonts w:hint="eastAsia" w:ascii="黑体" w:hAnsi="黑体" w:eastAsia="黑体" w:cs="黑体"/>
          <w:sz w:val="32"/>
          <w:szCs w:val="32"/>
          <w:highlight w:val="none"/>
          <w:lang w:eastAsia="zh-CN"/>
        </w:rPr>
        <w:t>声明</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 xml:space="preserve">1. </w:t>
      </w:r>
      <w:r>
        <w:rPr>
          <w:rFonts w:hint="eastAsia" w:ascii="仿宋_GB2312" w:hAnsi="仿宋_GB2312" w:eastAsia="仿宋_GB2312" w:cs="仿宋_GB2312"/>
          <w:sz w:val="32"/>
          <w:szCs w:val="32"/>
          <w:highlight w:val="none"/>
        </w:rPr>
        <w:t>本次公开处置的</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是债权</w:t>
      </w:r>
      <w:r>
        <w:rPr>
          <w:rFonts w:hint="eastAsia" w:ascii="仿宋_GB2312" w:hAnsi="仿宋_GB2312" w:eastAsia="仿宋_GB2312" w:cs="仿宋_GB2312"/>
          <w:sz w:val="32"/>
          <w:szCs w:val="32"/>
          <w:highlight w:val="none"/>
          <w:lang w:val="en-US" w:eastAsia="zh-CN"/>
        </w:rPr>
        <w:t>及抵债资产</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资产本身存在权利瑕疵，并存在部分或全部不能回收的风险特性以及清收</w:t>
      </w:r>
      <w:r>
        <w:rPr>
          <w:rFonts w:hint="eastAsia" w:ascii="仿宋_GB2312" w:hAnsi="仿宋_GB2312" w:eastAsia="仿宋_GB2312" w:cs="仿宋_GB2312"/>
          <w:sz w:val="32"/>
          <w:szCs w:val="32"/>
          <w:highlight w:val="none"/>
          <w:lang w:eastAsia="zh-CN"/>
        </w:rPr>
        <w:t>、处置</w:t>
      </w:r>
      <w:r>
        <w:rPr>
          <w:rFonts w:hint="eastAsia" w:ascii="仿宋_GB2312" w:hAnsi="仿宋_GB2312" w:eastAsia="仿宋_GB2312" w:cs="仿宋_GB2312"/>
          <w:sz w:val="32"/>
          <w:szCs w:val="32"/>
          <w:highlight w:val="none"/>
        </w:rPr>
        <w:t>的困难性；</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 xml:space="preserve">2. </w:t>
      </w:r>
      <w:r>
        <w:rPr>
          <w:rFonts w:hint="eastAsia" w:ascii="仿宋_GB2312" w:hAnsi="仿宋_GB2312" w:eastAsia="仿宋_GB2312" w:cs="仿宋_GB2312"/>
          <w:sz w:val="32"/>
          <w:szCs w:val="32"/>
          <w:highlight w:val="none"/>
        </w:rPr>
        <w:t>上述</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按现状转让</w:t>
      </w:r>
      <w:r>
        <w:rPr>
          <w:rFonts w:hint="eastAsia" w:ascii="仿宋_GB2312" w:hAnsi="仿宋_GB2312" w:eastAsia="仿宋_GB2312" w:cs="仿宋_GB2312"/>
          <w:sz w:val="32"/>
          <w:szCs w:val="32"/>
          <w:highlight w:val="none"/>
          <w:lang w:eastAsia="zh-CN"/>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3. 标的资产中</w:t>
      </w:r>
      <w:r>
        <w:rPr>
          <w:rFonts w:hint="eastAsia" w:ascii="仿宋_GB2312" w:hAnsi="仿宋_GB2312" w:eastAsia="仿宋_GB2312" w:cs="仿宋_GB2312"/>
          <w:sz w:val="32"/>
          <w:szCs w:val="32"/>
          <w:highlight w:val="none"/>
        </w:rPr>
        <w:t>债务人</w:t>
      </w:r>
      <w:r>
        <w:rPr>
          <w:rFonts w:hint="eastAsia" w:ascii="仿宋_GB2312" w:hAnsi="仿宋_GB2312" w:eastAsia="仿宋_GB2312" w:cs="仿宋_GB2312"/>
          <w:sz w:val="32"/>
          <w:szCs w:val="32"/>
          <w:highlight w:val="none"/>
          <w:lang w:eastAsia="zh-CN"/>
        </w:rPr>
        <w:t>及担保人</w:t>
      </w:r>
      <w:r>
        <w:rPr>
          <w:rFonts w:hint="eastAsia" w:ascii="仿宋_GB2312" w:hAnsi="仿宋_GB2312" w:eastAsia="仿宋_GB2312" w:cs="仿宋_GB2312"/>
          <w:sz w:val="32"/>
          <w:szCs w:val="32"/>
          <w:highlight w:val="none"/>
        </w:rPr>
        <w:t>企业状况、偿债能力以及</w:t>
      </w:r>
      <w:r>
        <w:rPr>
          <w:rFonts w:hint="eastAsia" w:ascii="仿宋_GB2312" w:hAnsi="仿宋_GB2312" w:eastAsia="仿宋_GB2312" w:cs="仿宋_GB2312"/>
          <w:sz w:val="32"/>
          <w:szCs w:val="32"/>
          <w:highlight w:val="none"/>
          <w:lang w:eastAsia="zh-CN"/>
        </w:rPr>
        <w:t>其他</w:t>
      </w:r>
      <w:r>
        <w:rPr>
          <w:rFonts w:hint="eastAsia" w:ascii="仿宋_GB2312" w:hAnsi="仿宋_GB2312" w:eastAsia="仿宋_GB2312" w:cs="仿宋_GB2312"/>
          <w:sz w:val="32"/>
          <w:szCs w:val="32"/>
          <w:highlight w:val="none"/>
        </w:rPr>
        <w:t>可能存在尚未发现的瑕疵或重大缺陷，由</w:t>
      </w:r>
      <w:r>
        <w:rPr>
          <w:rFonts w:hint="eastAsia" w:ascii="仿宋_GB2312" w:hAnsi="仿宋_GB2312" w:eastAsia="仿宋_GB2312" w:cs="仿宋_GB2312"/>
          <w:sz w:val="32"/>
          <w:szCs w:val="32"/>
          <w:highlight w:val="none"/>
          <w:lang w:val="en-US" w:eastAsia="zh-CN"/>
        </w:rPr>
        <w:t>竞买人</w:t>
      </w:r>
      <w:r>
        <w:rPr>
          <w:rFonts w:hint="eastAsia" w:ascii="仿宋_GB2312" w:hAnsi="仿宋_GB2312" w:eastAsia="仿宋_GB2312" w:cs="仿宋_GB2312"/>
          <w:sz w:val="32"/>
          <w:szCs w:val="32"/>
          <w:highlight w:val="none"/>
        </w:rPr>
        <w:t>自行了解清楚。</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 标的</w:t>
      </w:r>
      <w:r>
        <w:rPr>
          <w:rFonts w:hint="eastAsia" w:ascii="仿宋_GB2312" w:hAnsi="仿宋_GB2312" w:eastAsia="仿宋_GB2312" w:cs="仿宋_GB2312"/>
          <w:sz w:val="32"/>
          <w:szCs w:val="32"/>
          <w:highlight w:val="none"/>
        </w:rPr>
        <w:t>资产受让后，按借款合同在转让</w:t>
      </w:r>
      <w:r>
        <w:rPr>
          <w:rFonts w:hint="eastAsia" w:ascii="仿宋_GB2312" w:hAnsi="仿宋_GB2312" w:eastAsia="仿宋_GB2312" w:cs="仿宋_GB2312"/>
          <w:sz w:val="32"/>
          <w:szCs w:val="32"/>
          <w:highlight w:val="none"/>
          <w:lang w:eastAsia="zh-CN"/>
        </w:rPr>
        <w:t>时设定的</w:t>
      </w:r>
      <w:r>
        <w:rPr>
          <w:rFonts w:hint="eastAsia" w:ascii="仿宋_GB2312" w:hAnsi="仿宋_GB2312" w:eastAsia="仿宋_GB2312" w:cs="仿宋_GB2312"/>
          <w:sz w:val="32"/>
          <w:szCs w:val="32"/>
          <w:highlight w:val="none"/>
        </w:rPr>
        <w:t>基准日以后产生的利息、罚息</w:t>
      </w:r>
      <w:r>
        <w:rPr>
          <w:rFonts w:hint="eastAsia" w:ascii="仿宋_GB2312" w:hAnsi="仿宋_GB2312" w:eastAsia="仿宋_GB2312" w:cs="仿宋_GB2312"/>
          <w:sz w:val="32"/>
          <w:szCs w:val="32"/>
          <w:highlight w:val="none"/>
          <w:lang w:eastAsia="zh-CN"/>
        </w:rPr>
        <w:t>、违约金等</w:t>
      </w:r>
      <w:r>
        <w:rPr>
          <w:rFonts w:hint="eastAsia" w:ascii="仿宋_GB2312" w:hAnsi="仿宋_GB2312" w:eastAsia="仿宋_GB2312" w:cs="仿宋_GB2312"/>
          <w:sz w:val="32"/>
          <w:szCs w:val="32"/>
          <w:highlight w:val="none"/>
        </w:rPr>
        <w:t xml:space="preserve">的请求权可能由于法律政策等规定无法继续享有。 </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 xml:space="preserve">5. </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资产可能</w:t>
      </w:r>
      <w:r>
        <w:rPr>
          <w:rFonts w:hint="eastAsia" w:ascii="仿宋_GB2312" w:hAnsi="仿宋_GB2312" w:eastAsia="仿宋_GB2312" w:cs="仿宋_GB2312"/>
          <w:sz w:val="32"/>
          <w:szCs w:val="32"/>
          <w:highlight w:val="none"/>
          <w:lang w:eastAsia="zh-CN"/>
        </w:rPr>
        <w:t>存在</w:t>
      </w:r>
      <w:r>
        <w:rPr>
          <w:rFonts w:hint="eastAsia" w:ascii="仿宋_GB2312" w:hAnsi="仿宋_GB2312" w:eastAsia="仿宋_GB2312" w:cs="仿宋_GB2312"/>
          <w:sz w:val="32"/>
          <w:szCs w:val="32"/>
          <w:highlight w:val="none"/>
        </w:rPr>
        <w:t>因计算误差或在债务人处存有部分未予抵销的资产</w:t>
      </w:r>
      <w:r>
        <w:rPr>
          <w:rFonts w:hint="eastAsia" w:ascii="仿宋_GB2312" w:hAnsi="仿宋_GB2312" w:eastAsia="仿宋_GB2312" w:cs="仿宋_GB2312"/>
          <w:sz w:val="32"/>
          <w:szCs w:val="32"/>
          <w:highlight w:val="none"/>
          <w:lang w:eastAsia="zh-CN"/>
        </w:rPr>
        <w:t>等原因</w:t>
      </w:r>
      <w:r>
        <w:rPr>
          <w:rFonts w:hint="eastAsia" w:ascii="仿宋_GB2312" w:hAnsi="仿宋_GB2312" w:eastAsia="仿宋_GB2312" w:cs="仿宋_GB2312"/>
          <w:sz w:val="32"/>
          <w:szCs w:val="32"/>
          <w:highlight w:val="none"/>
        </w:rPr>
        <w:t>导致实际接收的资产金额与</w:t>
      </w:r>
      <w:r>
        <w:rPr>
          <w:rFonts w:hint="eastAsia" w:ascii="仿宋_GB2312" w:hAnsi="仿宋_GB2312" w:eastAsia="仿宋_GB2312" w:cs="仿宋_GB2312"/>
          <w:sz w:val="32"/>
          <w:szCs w:val="32"/>
          <w:highlight w:val="none"/>
          <w:lang w:eastAsia="zh-CN"/>
        </w:rPr>
        <w:t>标的资产表述</w:t>
      </w:r>
      <w:r>
        <w:rPr>
          <w:rFonts w:hint="eastAsia" w:ascii="仿宋_GB2312" w:hAnsi="仿宋_GB2312" w:eastAsia="仿宋_GB2312" w:cs="仿宋_GB2312"/>
          <w:sz w:val="32"/>
          <w:szCs w:val="32"/>
          <w:highlight w:val="none"/>
        </w:rPr>
        <w:t>的转让金额不完全一致。</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 xml:space="preserve">资产及其从权利可能存在的瑕疵或重大缺陷包括但不限于下列一项或多项： </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资产的债务人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担保人或其他责任主体可能存在破产、被解散、被撤销、被注销、被吊销、歇业、被关闭、下落不明以及其他主体瑕疵的</w:t>
      </w:r>
      <w:r>
        <w:rPr>
          <w:rFonts w:hint="eastAsia" w:ascii="仿宋_GB2312" w:hAnsi="仿宋_GB2312" w:eastAsia="仿宋_GB2312" w:cs="仿宋_GB2312"/>
          <w:sz w:val="32"/>
          <w:szCs w:val="32"/>
          <w:highlight w:val="none"/>
          <w:lang w:eastAsia="zh-CN"/>
        </w:rPr>
        <w:t>风险或</w:t>
      </w:r>
      <w:r>
        <w:rPr>
          <w:rFonts w:hint="eastAsia" w:ascii="仿宋_GB2312" w:hAnsi="仿宋_GB2312" w:eastAsia="仿宋_GB2312" w:cs="仿宋_GB2312"/>
          <w:sz w:val="32"/>
          <w:szCs w:val="32"/>
          <w:highlight w:val="none"/>
        </w:rPr>
        <w:t>情形；</w:t>
      </w:r>
      <w:r>
        <w:rPr>
          <w:rFonts w:hint="eastAsia" w:ascii="仿宋_GB2312" w:hAnsi="仿宋_GB2312" w:eastAsia="仿宋_GB2312" w:cs="仿宋_GB2312"/>
          <w:color w:val="FF0000"/>
          <w:sz w:val="32"/>
          <w:szCs w:val="32"/>
          <w:highlight w:val="none"/>
        </w:rPr>
        <w:t xml:space="preserve"> </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w:t>
      </w:r>
      <w:r>
        <w:rPr>
          <w:rFonts w:hint="eastAsia" w:ascii="仿宋_GB2312" w:hAnsi="仿宋_GB2312" w:eastAsia="仿宋_GB2312" w:cs="仿宋_GB2312"/>
          <w:sz w:val="32"/>
          <w:szCs w:val="32"/>
          <w:highlight w:val="none"/>
          <w:lang w:eastAsia="zh-CN"/>
        </w:rPr>
        <w:t>项下的</w:t>
      </w:r>
      <w:r>
        <w:rPr>
          <w:rFonts w:hint="eastAsia" w:ascii="仿宋_GB2312" w:hAnsi="仿宋_GB2312" w:eastAsia="仿宋_GB2312" w:cs="仿宋_GB2312"/>
          <w:sz w:val="32"/>
          <w:szCs w:val="32"/>
          <w:highlight w:val="none"/>
        </w:rPr>
        <w:t>担保协议本身因违反法律规定而</w:t>
      </w:r>
      <w:r>
        <w:rPr>
          <w:rFonts w:hint="eastAsia" w:ascii="仿宋_GB2312" w:hAnsi="仿宋_GB2312" w:eastAsia="仿宋_GB2312" w:cs="仿宋_GB2312"/>
          <w:sz w:val="32"/>
          <w:szCs w:val="32"/>
          <w:highlight w:val="none"/>
          <w:lang w:eastAsia="zh-CN"/>
        </w:rPr>
        <w:t>被认定为</w:t>
      </w:r>
      <w:r>
        <w:rPr>
          <w:rFonts w:hint="eastAsia" w:ascii="仿宋_GB2312" w:hAnsi="仿宋_GB2312" w:eastAsia="仿宋_GB2312" w:cs="仿宋_GB2312"/>
          <w:sz w:val="32"/>
          <w:szCs w:val="32"/>
          <w:highlight w:val="none"/>
        </w:rPr>
        <w:t>无效或被撤销，担保人</w:t>
      </w:r>
      <w:r>
        <w:rPr>
          <w:rFonts w:hint="eastAsia" w:ascii="仿宋_GB2312" w:hAnsi="仿宋_GB2312" w:eastAsia="仿宋_GB2312" w:cs="仿宋_GB2312"/>
          <w:sz w:val="32"/>
          <w:szCs w:val="32"/>
          <w:highlight w:val="none"/>
          <w:lang w:eastAsia="zh-CN"/>
        </w:rPr>
        <w:t>对此</w:t>
      </w:r>
      <w:r>
        <w:rPr>
          <w:rFonts w:hint="eastAsia" w:ascii="仿宋_GB2312" w:hAnsi="仿宋_GB2312" w:eastAsia="仿宋_GB2312" w:cs="仿宋_GB2312"/>
          <w:sz w:val="32"/>
          <w:szCs w:val="32"/>
          <w:highlight w:val="none"/>
        </w:rPr>
        <w:t>没有过错或仅承担一部分过错责任；</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w:t>
      </w:r>
      <w:r>
        <w:rPr>
          <w:rFonts w:hint="eastAsia" w:ascii="仿宋_GB2312" w:hAnsi="仿宋_GB2312" w:eastAsia="仿宋_GB2312" w:cs="仿宋_GB2312"/>
          <w:sz w:val="32"/>
          <w:szCs w:val="32"/>
          <w:highlight w:val="none"/>
          <w:lang w:eastAsia="zh-CN"/>
        </w:rPr>
        <w:t>项下的</w:t>
      </w:r>
      <w:r>
        <w:rPr>
          <w:rFonts w:hint="eastAsia" w:ascii="仿宋_GB2312" w:hAnsi="仿宋_GB2312" w:eastAsia="仿宋_GB2312" w:cs="仿宋_GB2312"/>
          <w:sz w:val="32"/>
          <w:szCs w:val="32"/>
          <w:highlight w:val="none"/>
        </w:rPr>
        <w:t>保证</w:t>
      </w:r>
      <w:r>
        <w:rPr>
          <w:rFonts w:hint="eastAsia" w:ascii="仿宋_GB2312" w:hAnsi="仿宋_GB2312" w:eastAsia="仿宋_GB2312" w:cs="仿宋_GB2312"/>
          <w:sz w:val="32"/>
          <w:szCs w:val="32"/>
          <w:highlight w:val="none"/>
          <w:lang w:eastAsia="zh-CN"/>
        </w:rPr>
        <w:t>责任存在因未在</w:t>
      </w:r>
      <w:r>
        <w:rPr>
          <w:rFonts w:hint="eastAsia" w:ascii="仿宋_GB2312" w:hAnsi="仿宋_GB2312" w:eastAsia="仿宋_GB2312" w:cs="仿宋_GB2312"/>
          <w:sz w:val="32"/>
          <w:szCs w:val="32"/>
          <w:highlight w:val="none"/>
        </w:rPr>
        <w:t>保证协议约定或法律规定的保证期间内向保证人主张权利，而造成保证人不再承担保证责任或免责</w:t>
      </w:r>
      <w:r>
        <w:rPr>
          <w:rFonts w:hint="eastAsia" w:ascii="仿宋_GB2312" w:hAnsi="仿宋_GB2312" w:eastAsia="仿宋_GB2312" w:cs="仿宋_GB2312"/>
          <w:sz w:val="32"/>
          <w:szCs w:val="32"/>
          <w:highlight w:val="none"/>
          <w:lang w:eastAsia="zh-CN"/>
        </w:rPr>
        <w:t>的风险或情形</w:t>
      </w:r>
      <w:r>
        <w:rPr>
          <w:rFonts w:hint="eastAsia" w:ascii="仿宋_GB2312" w:hAnsi="仿宋_GB2312" w:eastAsia="仿宋_GB2312" w:cs="仿宋_GB2312"/>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（4）所列债务人</w:t>
      </w:r>
      <w:r>
        <w:rPr>
          <w:rFonts w:hint="eastAsia" w:ascii="仿宋_GB2312" w:hAnsi="仿宋_GB2312" w:eastAsia="仿宋_GB2312" w:cs="仿宋_GB2312"/>
          <w:sz w:val="32"/>
          <w:szCs w:val="32"/>
          <w:highlight w:val="none"/>
          <w:lang w:eastAsia="zh-CN"/>
        </w:rPr>
        <w:t>及担保人</w:t>
      </w:r>
      <w:r>
        <w:rPr>
          <w:rFonts w:hint="eastAsia" w:ascii="仿宋_GB2312" w:hAnsi="仿宋_GB2312" w:eastAsia="仿宋_GB2312" w:cs="仿宋_GB2312"/>
          <w:sz w:val="32"/>
          <w:szCs w:val="32"/>
          <w:highlight w:val="none"/>
        </w:rPr>
        <w:t>与实际不符，应以法院</w:t>
      </w:r>
      <w:r>
        <w:rPr>
          <w:rFonts w:hint="eastAsia" w:ascii="仿宋_GB2312" w:hAnsi="仿宋_GB2312" w:eastAsia="仿宋_GB2312" w:cs="仿宋_GB2312"/>
          <w:sz w:val="32"/>
          <w:szCs w:val="32"/>
          <w:highlight w:val="none"/>
          <w:lang w:eastAsia="zh-CN"/>
        </w:rPr>
        <w:t>或仲裁机构</w:t>
      </w:r>
      <w:r>
        <w:rPr>
          <w:rFonts w:hint="eastAsia" w:ascii="仿宋_GB2312" w:hAnsi="仿宋_GB2312" w:eastAsia="仿宋_GB2312" w:cs="仿宋_GB2312"/>
          <w:sz w:val="32"/>
          <w:szCs w:val="32"/>
          <w:highlight w:val="none"/>
        </w:rPr>
        <w:t>确认的债务人</w:t>
      </w:r>
      <w:r>
        <w:rPr>
          <w:rFonts w:hint="eastAsia" w:ascii="仿宋_GB2312" w:hAnsi="仿宋_GB2312" w:eastAsia="仿宋_GB2312" w:cs="仿宋_GB2312"/>
          <w:sz w:val="32"/>
          <w:szCs w:val="32"/>
          <w:highlight w:val="none"/>
          <w:lang w:eastAsia="zh-CN"/>
        </w:rPr>
        <w:t>及担保人</w:t>
      </w:r>
      <w:r>
        <w:rPr>
          <w:rFonts w:hint="eastAsia" w:ascii="仿宋_GB2312" w:hAnsi="仿宋_GB2312" w:eastAsia="仿宋_GB2312" w:cs="仿宋_GB2312"/>
          <w:sz w:val="32"/>
          <w:szCs w:val="32"/>
          <w:highlight w:val="none"/>
        </w:rPr>
        <w:t>为准；</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资产的担保物权因担保物灭失而消灭；</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rPr>
        <w:t>（6）</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资产的抵</w:t>
      </w:r>
      <w:r>
        <w:rPr>
          <w:rFonts w:hint="eastAsia" w:ascii="仿宋_GB2312" w:hAnsi="仿宋_GB2312" w:eastAsia="仿宋_GB2312" w:cs="仿宋_GB2312"/>
          <w:sz w:val="32"/>
          <w:szCs w:val="32"/>
          <w:highlight w:val="none"/>
          <w:lang w:val="en-US" w:eastAsia="zh-CN"/>
        </w:rPr>
        <w:t>/质</w:t>
      </w:r>
      <w:r>
        <w:rPr>
          <w:rFonts w:hint="eastAsia" w:ascii="仿宋_GB2312" w:hAnsi="仿宋_GB2312" w:eastAsia="仿宋_GB2312" w:cs="仿宋_GB2312"/>
          <w:sz w:val="32"/>
          <w:szCs w:val="32"/>
          <w:highlight w:val="none"/>
        </w:rPr>
        <w:t>押物实际不存在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抵押物重复抵押</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抵</w:t>
      </w:r>
      <w:r>
        <w:rPr>
          <w:rFonts w:hint="eastAsia" w:ascii="仿宋_GB2312" w:hAnsi="仿宋_GB2312" w:eastAsia="仿宋_GB2312" w:cs="仿宋_GB2312"/>
          <w:sz w:val="32"/>
          <w:szCs w:val="32"/>
          <w:highlight w:val="none"/>
          <w:lang w:val="en-US" w:eastAsia="zh-CN"/>
        </w:rPr>
        <w:t>/质</w:t>
      </w:r>
      <w:r>
        <w:rPr>
          <w:rFonts w:hint="eastAsia" w:ascii="仿宋_GB2312" w:hAnsi="仿宋_GB2312" w:eastAsia="仿宋_GB2312" w:cs="仿宋_GB2312"/>
          <w:sz w:val="32"/>
          <w:szCs w:val="32"/>
          <w:highlight w:val="none"/>
        </w:rPr>
        <w:t>押协议实际未生效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抵押担</w:t>
      </w:r>
      <w:r>
        <w:rPr>
          <w:rFonts w:hint="eastAsia" w:ascii="仿宋_GB2312" w:hAnsi="仿宋_GB2312" w:eastAsia="仿宋_GB2312" w:cs="仿宋_GB2312"/>
          <w:color w:val="auto"/>
          <w:sz w:val="32"/>
          <w:szCs w:val="32"/>
          <w:highlight w:val="none"/>
        </w:rPr>
        <w:t>保应办理抵押登记而未办理；或因动产抵押协议未办理登记而抵押物已为第三人善意取得；或动产抵押物质量下降、丢失、乃至无法使用</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可能存在抵押物实际数量或抵押状态与公告中披露的抵押物情况不符的可能性</w:t>
      </w:r>
      <w:r>
        <w:rPr>
          <w:rFonts w:hint="eastAsia" w:ascii="仿宋_GB2312" w:hAnsi="仿宋_GB2312" w:eastAsia="仿宋_GB2312" w:cs="仿宋_GB2312"/>
          <w:color w:val="auto"/>
          <w:sz w:val="32"/>
          <w:szCs w:val="32"/>
          <w:highlight w:val="none"/>
          <w:lang w:eastAsia="zh-CN"/>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）部分</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资产可能已被全部或部分减免、被抵销、被清偿；</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资产可能存在因超过法定</w:t>
      </w:r>
      <w:r>
        <w:rPr>
          <w:rFonts w:hint="eastAsia" w:ascii="仿宋_GB2312" w:hAnsi="仿宋_GB2312" w:eastAsia="仿宋_GB2312" w:cs="仿宋_GB2312"/>
          <w:color w:val="auto"/>
          <w:sz w:val="32"/>
          <w:szCs w:val="32"/>
          <w:highlight w:val="none"/>
          <w:lang w:eastAsia="zh-CN"/>
        </w:rPr>
        <w:t>起诉期限、</w:t>
      </w:r>
      <w:r>
        <w:rPr>
          <w:rFonts w:hint="eastAsia" w:ascii="仿宋_GB2312" w:hAnsi="仿宋_GB2312" w:eastAsia="仿宋_GB2312" w:cs="仿宋_GB2312"/>
          <w:color w:val="auto"/>
          <w:sz w:val="32"/>
          <w:szCs w:val="32"/>
          <w:highlight w:val="none"/>
        </w:rPr>
        <w:t>上诉期限、申请执行期限</w:t>
      </w:r>
      <w:r>
        <w:rPr>
          <w:rFonts w:hint="eastAsia" w:ascii="仿宋_GB2312" w:hAnsi="仿宋_GB2312" w:eastAsia="仿宋_GB2312" w:cs="仿宋_GB2312"/>
          <w:color w:val="auto"/>
          <w:sz w:val="32"/>
          <w:szCs w:val="32"/>
          <w:highlight w:val="none"/>
          <w:lang w:eastAsia="zh-CN"/>
        </w:rPr>
        <w:t>等</w:t>
      </w:r>
      <w:r>
        <w:rPr>
          <w:rFonts w:hint="eastAsia" w:ascii="仿宋_GB2312" w:hAnsi="仿宋_GB2312" w:eastAsia="仿宋_GB2312" w:cs="仿宋_GB2312"/>
          <w:color w:val="auto"/>
          <w:sz w:val="32"/>
          <w:szCs w:val="32"/>
          <w:highlight w:val="none"/>
        </w:rPr>
        <w:t>而无法获得法律保护；</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）全部或部分</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lang w:val="en-US" w:eastAsia="zh-CN"/>
        </w:rPr>
        <w:t>资产</w:t>
      </w:r>
      <w:r>
        <w:rPr>
          <w:rFonts w:hint="eastAsia" w:ascii="仿宋_GB2312" w:hAnsi="仿宋_GB2312" w:eastAsia="仿宋_GB2312" w:cs="仿宋_GB2312"/>
          <w:color w:val="auto"/>
          <w:sz w:val="32"/>
          <w:szCs w:val="32"/>
          <w:highlight w:val="none"/>
          <w:lang w:eastAsia="zh-CN"/>
        </w:rPr>
        <w:t>存在</w:t>
      </w:r>
      <w:r>
        <w:rPr>
          <w:rFonts w:hint="eastAsia" w:ascii="仿宋_GB2312" w:hAnsi="仿宋_GB2312" w:eastAsia="仿宋_GB2312" w:cs="仿宋_GB2312"/>
          <w:color w:val="auto"/>
          <w:sz w:val="32"/>
          <w:szCs w:val="32"/>
          <w:highlight w:val="none"/>
        </w:rPr>
        <w:t>经法院或仲裁机构裁判未获得其支持而败诉或部分败诉、</w:t>
      </w:r>
      <w:r>
        <w:rPr>
          <w:rFonts w:hint="eastAsia" w:ascii="仿宋_GB2312" w:hAnsi="仿宋_GB2312" w:eastAsia="仿宋_GB2312" w:cs="仿宋_GB2312"/>
          <w:color w:val="auto"/>
          <w:sz w:val="32"/>
          <w:szCs w:val="32"/>
          <w:highlight w:val="none"/>
          <w:lang w:eastAsia="zh-CN"/>
        </w:rPr>
        <w:t>被</w:t>
      </w:r>
      <w:r>
        <w:rPr>
          <w:rFonts w:hint="eastAsia" w:ascii="仿宋_GB2312" w:hAnsi="仿宋_GB2312" w:eastAsia="仿宋_GB2312" w:cs="仿宋_GB2312"/>
          <w:color w:val="auto"/>
          <w:sz w:val="32"/>
          <w:szCs w:val="32"/>
          <w:highlight w:val="none"/>
        </w:rPr>
        <w:t>裁定终结执行等诉讼风险；</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lang w:val="en-US" w:eastAsia="zh-CN"/>
        </w:rPr>
        <w:t>资产</w:t>
      </w:r>
      <w:r>
        <w:rPr>
          <w:rFonts w:hint="eastAsia" w:ascii="仿宋_GB2312" w:hAnsi="仿宋_GB2312" w:eastAsia="仿宋_GB2312" w:cs="仿宋_GB2312"/>
          <w:color w:val="auto"/>
          <w:sz w:val="32"/>
          <w:szCs w:val="32"/>
          <w:highlight w:val="none"/>
        </w:rPr>
        <w:t>中的利息、罚息</w:t>
      </w:r>
      <w:r>
        <w:rPr>
          <w:rFonts w:hint="eastAsia" w:ascii="仿宋_GB2312" w:hAnsi="仿宋_GB2312" w:eastAsia="仿宋_GB2312" w:cs="仿宋_GB2312"/>
          <w:color w:val="auto"/>
          <w:sz w:val="32"/>
          <w:szCs w:val="32"/>
          <w:highlight w:val="none"/>
          <w:lang w:eastAsia="zh-CN"/>
        </w:rPr>
        <w:t>、违约金</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eastAsia="zh-CN"/>
        </w:rPr>
        <w:t>存在</w:t>
      </w:r>
      <w:r>
        <w:rPr>
          <w:rFonts w:hint="eastAsia" w:ascii="仿宋_GB2312" w:hAnsi="仿宋_GB2312" w:eastAsia="仿宋_GB2312" w:cs="仿宋_GB2312"/>
          <w:color w:val="auto"/>
          <w:sz w:val="32"/>
          <w:szCs w:val="32"/>
          <w:highlight w:val="none"/>
        </w:rPr>
        <w:t>诉求经法院或仲裁机构裁判未获得其支持而败诉或部分败诉、法院已裁定终结执行等诉讼风险；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收取的</w:t>
      </w:r>
      <w:r>
        <w:rPr>
          <w:rFonts w:hint="eastAsia" w:ascii="仿宋_GB2312" w:eastAsia="仿宋_GB2312" w:cs="Times New Roman"/>
          <w:color w:val="auto"/>
          <w:sz w:val="32"/>
          <w:szCs w:val="32"/>
          <w:highlight w:val="none"/>
          <w:u w:val="none"/>
          <w:lang w:val="en-US" w:eastAsia="zh-CN"/>
        </w:rPr>
        <w:t>服务费、咨询费、顾问费、管理费等相关费用存在不被法院支持且无法另行追索的风险；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已经进入诉讼程序的</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资产，可能存在由于未能在法律规定的期限内申请继续</w:t>
      </w:r>
      <w:r>
        <w:rPr>
          <w:rFonts w:hint="eastAsia" w:ascii="仿宋_GB2312" w:hAnsi="仿宋_GB2312" w:eastAsia="仿宋_GB2312" w:cs="仿宋_GB2312"/>
          <w:color w:val="auto"/>
          <w:sz w:val="32"/>
          <w:szCs w:val="32"/>
          <w:highlight w:val="none"/>
          <w:lang w:eastAsia="zh-CN"/>
        </w:rPr>
        <w:t>保全</w:t>
      </w:r>
      <w:r>
        <w:rPr>
          <w:rFonts w:hint="eastAsia" w:ascii="仿宋_GB2312" w:hAnsi="仿宋_GB2312" w:eastAsia="仿宋_GB2312" w:cs="仿宋_GB2312"/>
          <w:color w:val="auto"/>
          <w:sz w:val="32"/>
          <w:szCs w:val="32"/>
          <w:highlight w:val="none"/>
        </w:rPr>
        <w:t>而导致对</w:t>
      </w:r>
      <w:r>
        <w:rPr>
          <w:rFonts w:hint="eastAsia" w:ascii="仿宋_GB2312" w:hAnsi="仿宋_GB2312" w:eastAsia="仿宋_GB2312" w:cs="仿宋_GB2312"/>
          <w:color w:val="auto"/>
          <w:sz w:val="32"/>
          <w:szCs w:val="32"/>
          <w:highlight w:val="none"/>
          <w:lang w:eastAsia="zh-CN"/>
        </w:rPr>
        <w:t>保全</w:t>
      </w:r>
      <w:r>
        <w:rPr>
          <w:rFonts w:hint="eastAsia" w:ascii="仿宋_GB2312" w:hAnsi="仿宋_GB2312" w:eastAsia="仿宋_GB2312" w:cs="仿宋_GB2312"/>
          <w:color w:val="auto"/>
          <w:sz w:val="32"/>
          <w:szCs w:val="32"/>
          <w:highlight w:val="none"/>
        </w:rPr>
        <w:t>资产失去控制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可能存在</w:t>
      </w:r>
      <w:r>
        <w:rPr>
          <w:rFonts w:hint="eastAsia" w:ascii="仿宋_GB2312" w:hAnsi="仿宋_GB2312" w:eastAsia="仿宋_GB2312" w:cs="仿宋_GB2312"/>
          <w:b w:val="0"/>
          <w:bCs w:val="0"/>
          <w:color w:val="auto"/>
          <w:kern w:val="2"/>
          <w:sz w:val="32"/>
          <w:szCs w:val="32"/>
          <w:highlight w:val="none"/>
          <w:lang w:val="en-US" w:eastAsia="zh-CN" w:bidi="ar-SA"/>
        </w:rPr>
        <w:t>保全行为引发执行异议、复议、执行异议之诉情况或导致排除强制执行</w:t>
      </w:r>
      <w:r>
        <w:rPr>
          <w:rFonts w:hint="eastAsia" w:ascii="仿宋_GB2312" w:hAnsi="仿宋_GB2312" w:eastAsia="仿宋_GB2312" w:cs="仿宋_GB2312"/>
          <w:color w:val="auto"/>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）标的</w:t>
      </w:r>
      <w:r>
        <w:rPr>
          <w:rFonts w:hint="eastAsia" w:ascii="仿宋_GB2312" w:hAnsi="仿宋_GB2312" w:eastAsia="仿宋_GB2312" w:cs="仿宋_GB2312"/>
          <w:color w:val="auto"/>
          <w:sz w:val="32"/>
          <w:szCs w:val="32"/>
          <w:highlight w:val="none"/>
          <w:lang w:eastAsia="zh-CN"/>
        </w:rPr>
        <w:t>资产</w:t>
      </w:r>
      <w:r>
        <w:rPr>
          <w:rFonts w:hint="eastAsia" w:ascii="仿宋_GB2312" w:hAnsi="仿宋_GB2312" w:eastAsia="仿宋_GB2312" w:cs="仿宋_GB2312"/>
          <w:color w:val="auto"/>
          <w:sz w:val="32"/>
          <w:szCs w:val="32"/>
          <w:highlight w:val="none"/>
        </w:rPr>
        <w:t>在基准日后仍会发生变化；</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）主从债权证明文件仅</w:t>
      </w:r>
      <w:r>
        <w:rPr>
          <w:rFonts w:hint="eastAsia" w:ascii="仿宋_GB2312" w:hAnsi="仿宋_GB2312" w:eastAsia="仿宋_GB2312" w:cs="仿宋_GB2312"/>
          <w:color w:val="auto"/>
          <w:sz w:val="32"/>
          <w:szCs w:val="32"/>
          <w:highlight w:val="none"/>
          <w:lang w:eastAsia="zh-CN"/>
        </w:rPr>
        <w:t>存</w:t>
      </w:r>
      <w:r>
        <w:rPr>
          <w:rFonts w:hint="eastAsia" w:ascii="仿宋_GB2312" w:hAnsi="仿宋_GB2312" w:eastAsia="仿宋_GB2312" w:cs="仿宋_GB2312"/>
          <w:color w:val="auto"/>
          <w:sz w:val="32"/>
          <w:szCs w:val="32"/>
          <w:highlight w:val="none"/>
        </w:rPr>
        <w:t>复印件，或者主从债权证明文件存在缺失、不完整</w:t>
      </w:r>
      <w:r>
        <w:rPr>
          <w:rFonts w:hint="eastAsia" w:ascii="仿宋_GB2312" w:hAnsi="仿宋_GB2312" w:eastAsia="仿宋_GB2312" w:cs="仿宋_GB2312"/>
          <w:color w:val="auto"/>
          <w:sz w:val="32"/>
          <w:szCs w:val="32"/>
          <w:highlight w:val="none"/>
          <w:lang w:eastAsia="zh-CN"/>
        </w:rPr>
        <w:t>、不清晰</w:t>
      </w:r>
      <w:r>
        <w:rPr>
          <w:rFonts w:hint="eastAsia" w:ascii="仿宋_GB2312" w:hAnsi="仿宋_GB2312" w:eastAsia="仿宋_GB2312" w:cs="仿宋_GB2312"/>
          <w:color w:val="auto"/>
          <w:sz w:val="32"/>
          <w:szCs w:val="32"/>
          <w:highlight w:val="none"/>
        </w:rPr>
        <w:t>或内容冲突等情形；</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资产抵押物可能存在</w:t>
      </w:r>
      <w:r>
        <w:rPr>
          <w:rFonts w:hint="eastAsia" w:ascii="仿宋_GB2312" w:hAnsi="仿宋_GB2312" w:eastAsia="仿宋_GB2312" w:cs="仿宋_GB2312"/>
          <w:color w:val="auto"/>
          <w:sz w:val="32"/>
          <w:szCs w:val="32"/>
          <w:highlight w:val="none"/>
          <w:lang w:eastAsia="zh-CN"/>
        </w:rPr>
        <w:t>被</w:t>
      </w:r>
      <w:r>
        <w:rPr>
          <w:rFonts w:hint="eastAsia" w:ascii="仿宋_GB2312" w:hAnsi="仿宋_GB2312" w:eastAsia="仿宋_GB2312" w:cs="仿宋_GB2312"/>
          <w:color w:val="auto"/>
          <w:sz w:val="32"/>
          <w:szCs w:val="32"/>
          <w:highlight w:val="none"/>
        </w:rPr>
        <w:t>长期租赁</w:t>
      </w:r>
      <w:r>
        <w:rPr>
          <w:rFonts w:hint="eastAsia" w:ascii="仿宋_GB2312" w:hAnsi="仿宋_GB2312" w:eastAsia="仿宋_GB2312" w:cs="仿宋_GB2312"/>
          <w:color w:val="auto"/>
          <w:sz w:val="32"/>
          <w:szCs w:val="32"/>
          <w:highlight w:val="none"/>
          <w:lang w:eastAsia="zh-CN"/>
        </w:rPr>
        <w:t>、借用</w:t>
      </w:r>
      <w:r>
        <w:rPr>
          <w:rFonts w:hint="eastAsia" w:ascii="仿宋_GB2312" w:hAnsi="仿宋_GB2312" w:eastAsia="仿宋_GB2312" w:cs="仿宋_GB2312"/>
          <w:color w:val="auto"/>
          <w:sz w:val="32"/>
          <w:szCs w:val="32"/>
          <w:highlight w:val="none"/>
        </w:rPr>
        <w:t>或者被他人长期占用</w:t>
      </w:r>
      <w:r>
        <w:rPr>
          <w:rFonts w:hint="eastAsia" w:ascii="仿宋_GB2312" w:hAnsi="仿宋_GB2312" w:eastAsia="仿宋_GB2312" w:cs="仿宋_GB2312"/>
          <w:color w:val="auto"/>
          <w:sz w:val="32"/>
          <w:szCs w:val="32"/>
          <w:highlight w:val="none"/>
          <w:lang w:eastAsia="zh-CN"/>
        </w:rPr>
        <w:t>、无法正常使用等情形</w:t>
      </w:r>
      <w:r>
        <w:rPr>
          <w:rFonts w:hint="eastAsia" w:ascii="仿宋_GB2312" w:hAnsi="仿宋_GB2312" w:eastAsia="仿宋_GB2312" w:cs="仿宋_GB2312"/>
          <w:color w:val="auto"/>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资产抵押物为房屋的，该抵押房屋所坐落的土地</w:t>
      </w:r>
      <w:r>
        <w:rPr>
          <w:rFonts w:hint="eastAsia" w:ascii="仿宋_GB2312" w:hAnsi="仿宋_GB2312" w:eastAsia="仿宋_GB2312" w:cs="仿宋_GB2312"/>
          <w:color w:val="auto"/>
          <w:sz w:val="32"/>
          <w:szCs w:val="32"/>
          <w:highlight w:val="none"/>
          <w:lang w:eastAsia="zh-CN"/>
        </w:rPr>
        <w:t>可能</w:t>
      </w:r>
      <w:r>
        <w:rPr>
          <w:rFonts w:hint="eastAsia" w:ascii="仿宋_GB2312" w:hAnsi="仿宋_GB2312" w:eastAsia="仿宋_GB2312" w:cs="仿宋_GB2312"/>
          <w:color w:val="auto"/>
          <w:sz w:val="32"/>
          <w:szCs w:val="32"/>
          <w:highlight w:val="none"/>
        </w:rPr>
        <w:t>系</w:t>
      </w:r>
      <w:r>
        <w:rPr>
          <w:rFonts w:hint="eastAsia" w:ascii="仿宋_GB2312" w:hAnsi="仿宋_GB2312" w:eastAsia="仿宋_GB2312" w:cs="仿宋_GB2312"/>
          <w:color w:val="auto"/>
          <w:sz w:val="32"/>
          <w:szCs w:val="32"/>
          <w:highlight w:val="none"/>
          <w:lang w:eastAsia="zh-CN"/>
        </w:rPr>
        <w:t>通过</w:t>
      </w:r>
      <w:r>
        <w:rPr>
          <w:rFonts w:hint="eastAsia" w:ascii="仿宋_GB2312" w:hAnsi="仿宋_GB2312" w:eastAsia="仿宋_GB2312" w:cs="仿宋_GB2312"/>
          <w:color w:val="auto"/>
          <w:sz w:val="32"/>
          <w:szCs w:val="32"/>
          <w:highlight w:val="none"/>
        </w:rPr>
        <w:t>租赁</w:t>
      </w:r>
      <w:r>
        <w:rPr>
          <w:rFonts w:hint="eastAsia" w:ascii="仿宋_GB2312" w:hAnsi="仿宋_GB2312" w:eastAsia="仿宋_GB2312" w:cs="仿宋_GB2312"/>
          <w:color w:val="auto"/>
          <w:sz w:val="32"/>
          <w:szCs w:val="32"/>
          <w:highlight w:val="none"/>
          <w:lang w:eastAsia="zh-CN"/>
        </w:rPr>
        <w:t>、划拨、出让等方式</w:t>
      </w:r>
      <w:r>
        <w:rPr>
          <w:rFonts w:hint="eastAsia" w:ascii="仿宋_GB2312" w:hAnsi="仿宋_GB2312" w:eastAsia="仿宋_GB2312" w:cs="仿宋_GB2312"/>
          <w:color w:val="auto"/>
          <w:sz w:val="32"/>
          <w:szCs w:val="32"/>
          <w:highlight w:val="none"/>
        </w:rPr>
        <w:t>取得</w:t>
      </w:r>
      <w:r>
        <w:rPr>
          <w:rFonts w:hint="eastAsia" w:ascii="仿宋_GB2312" w:hAnsi="仿宋_GB2312" w:eastAsia="仿宋_GB2312" w:cs="仿宋_GB2312"/>
          <w:color w:val="auto"/>
          <w:sz w:val="32"/>
          <w:szCs w:val="32"/>
          <w:highlight w:val="none"/>
          <w:lang w:eastAsia="zh-CN"/>
        </w:rPr>
        <w:t>，存在</w:t>
      </w:r>
      <w:r>
        <w:rPr>
          <w:rFonts w:hint="eastAsia" w:ascii="仿宋_GB2312" w:hAnsi="仿宋_GB2312" w:eastAsia="仿宋_GB2312" w:cs="仿宋_GB2312"/>
          <w:color w:val="auto"/>
          <w:sz w:val="32"/>
          <w:szCs w:val="32"/>
          <w:highlight w:val="none"/>
        </w:rPr>
        <w:t>欠缴土地租赁费</w:t>
      </w:r>
      <w:r>
        <w:rPr>
          <w:rFonts w:hint="eastAsia" w:ascii="仿宋_GB2312" w:hAnsi="仿宋_GB2312" w:eastAsia="仿宋_GB2312" w:cs="仿宋_GB2312"/>
          <w:color w:val="auto"/>
          <w:sz w:val="32"/>
          <w:szCs w:val="32"/>
          <w:highlight w:val="none"/>
          <w:lang w:eastAsia="zh-CN"/>
        </w:rPr>
        <w:t>、土地出让金等税、费的情形</w:t>
      </w:r>
      <w:r>
        <w:rPr>
          <w:rFonts w:hint="eastAsia" w:ascii="仿宋_GB2312" w:hAnsi="仿宋_GB2312" w:eastAsia="仿宋_GB2312" w:cs="仿宋_GB2312"/>
          <w:color w:val="auto"/>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质押物</w:t>
      </w:r>
      <w:r>
        <w:rPr>
          <w:rFonts w:hint="eastAsia" w:ascii="仿宋_GB2312" w:hAnsi="仿宋_GB2312" w:eastAsia="仿宋_GB2312" w:cs="仿宋_GB2312"/>
          <w:color w:val="auto"/>
          <w:sz w:val="32"/>
          <w:szCs w:val="32"/>
          <w:highlight w:val="none"/>
          <w:lang w:eastAsia="zh-CN"/>
        </w:rPr>
        <w:t>或</w:t>
      </w:r>
      <w:r>
        <w:rPr>
          <w:rFonts w:hint="eastAsia" w:ascii="仿宋_GB2312" w:hAnsi="仿宋_GB2312" w:eastAsia="仿宋_GB2312" w:cs="仿宋_GB2312"/>
          <w:color w:val="auto"/>
          <w:sz w:val="32"/>
          <w:szCs w:val="32"/>
          <w:highlight w:val="none"/>
        </w:rPr>
        <w:t>存在</w:t>
      </w:r>
      <w:r>
        <w:rPr>
          <w:rFonts w:hint="eastAsia" w:ascii="仿宋_GB2312" w:hAnsi="仿宋_GB2312" w:eastAsia="仿宋_GB2312" w:cs="仿宋_GB2312"/>
          <w:color w:val="auto"/>
          <w:sz w:val="32"/>
          <w:szCs w:val="32"/>
          <w:highlight w:val="none"/>
          <w:lang w:eastAsia="zh-CN"/>
        </w:rPr>
        <w:t>因</w:t>
      </w:r>
      <w:r>
        <w:rPr>
          <w:rFonts w:hint="eastAsia" w:ascii="仿宋_GB2312" w:hAnsi="仿宋_GB2312" w:eastAsia="仿宋_GB2312" w:cs="仿宋_GB2312"/>
          <w:color w:val="auto"/>
          <w:sz w:val="32"/>
          <w:szCs w:val="32"/>
          <w:highlight w:val="none"/>
        </w:rPr>
        <w:t>物理界限不确定而导致纠纷发生</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可能</w:t>
      </w:r>
      <w:r>
        <w:rPr>
          <w:rFonts w:hint="eastAsia" w:ascii="仿宋_GB2312" w:hAnsi="仿宋_GB2312" w:eastAsia="仿宋_GB2312" w:cs="仿宋_GB2312"/>
          <w:color w:val="auto"/>
          <w:sz w:val="32"/>
          <w:szCs w:val="32"/>
          <w:highlight w:val="none"/>
          <w:lang w:eastAsia="zh-CN"/>
        </w:rPr>
        <w:t>性</w:t>
      </w:r>
      <w:r>
        <w:rPr>
          <w:rFonts w:hint="eastAsia" w:ascii="仿宋_GB2312" w:hAnsi="仿宋_GB2312" w:eastAsia="仿宋_GB2312" w:cs="仿宋_GB2312"/>
          <w:color w:val="auto"/>
          <w:sz w:val="32"/>
          <w:szCs w:val="32"/>
          <w:highlight w:val="none"/>
        </w:rPr>
        <w:t>，且可能存在欠缴监管费、场地租赁费、修缮费等情</w:t>
      </w:r>
      <w:r>
        <w:rPr>
          <w:rFonts w:hint="eastAsia" w:ascii="仿宋_GB2312" w:hAnsi="仿宋_GB2312" w:eastAsia="仿宋_GB2312" w:cs="仿宋_GB2312"/>
          <w:color w:val="auto"/>
          <w:sz w:val="32"/>
          <w:szCs w:val="32"/>
          <w:highlight w:val="none"/>
          <w:lang w:eastAsia="zh-CN"/>
        </w:rPr>
        <w:t>形</w:t>
      </w:r>
      <w:r>
        <w:rPr>
          <w:rFonts w:hint="eastAsia" w:ascii="仿宋_GB2312" w:hAnsi="仿宋_GB2312" w:eastAsia="仿宋_GB2312" w:cs="仿宋_GB2312"/>
          <w:color w:val="auto"/>
          <w:sz w:val="32"/>
          <w:szCs w:val="32"/>
          <w:highlight w:val="none"/>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质押物可能存在现场无人看管、数量无法确定</w:t>
      </w:r>
      <w:r>
        <w:rPr>
          <w:rFonts w:hint="eastAsia" w:ascii="仿宋_GB2312" w:hAnsi="仿宋_GB2312" w:eastAsia="仿宋_GB2312" w:cs="仿宋_GB2312"/>
          <w:color w:val="auto"/>
          <w:sz w:val="32"/>
          <w:szCs w:val="32"/>
          <w:highlight w:val="none"/>
          <w:lang w:eastAsia="zh-CN"/>
        </w:rPr>
        <w:t>、被强制清理等导致其价值贬损或权利瑕疵的情形；</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标的</w:t>
      </w:r>
      <w:r>
        <w:rPr>
          <w:rFonts w:hint="eastAsia" w:ascii="仿宋_GB2312" w:hAnsi="仿宋_GB2312" w:eastAsia="仿宋_GB2312" w:cs="仿宋_GB2312"/>
          <w:color w:val="auto"/>
          <w:sz w:val="32"/>
          <w:szCs w:val="32"/>
          <w:highlight w:val="none"/>
        </w:rPr>
        <w:t>资产抵质押物可能存在</w:t>
      </w:r>
      <w:r>
        <w:rPr>
          <w:rFonts w:hint="eastAsia" w:ascii="仿宋_GB2312" w:hAnsi="仿宋_GB2312" w:eastAsia="仿宋_GB2312" w:cs="仿宋_GB2312"/>
          <w:color w:val="auto"/>
          <w:sz w:val="32"/>
          <w:szCs w:val="32"/>
          <w:highlight w:val="none"/>
          <w:lang w:eastAsia="zh-CN"/>
        </w:rPr>
        <w:t>被</w:t>
      </w:r>
      <w:r>
        <w:rPr>
          <w:rFonts w:hint="eastAsia" w:ascii="仿宋_GB2312" w:hAnsi="仿宋_GB2312" w:eastAsia="仿宋_GB2312" w:cs="仿宋_GB2312"/>
          <w:color w:val="auto"/>
          <w:sz w:val="32"/>
          <w:szCs w:val="32"/>
          <w:highlight w:val="none"/>
        </w:rPr>
        <w:t>其他法院</w:t>
      </w:r>
      <w:r>
        <w:rPr>
          <w:rFonts w:hint="eastAsia" w:ascii="仿宋_GB2312" w:hAnsi="仿宋_GB2312" w:eastAsia="仿宋_GB2312" w:cs="仿宋_GB2312"/>
          <w:color w:val="auto"/>
          <w:sz w:val="32"/>
          <w:szCs w:val="32"/>
          <w:highlight w:val="none"/>
          <w:lang w:eastAsia="zh-CN"/>
        </w:rPr>
        <w:t>采取保全措施或已被处置等情形；</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19</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已经进入诉讼程序的标的资产可能存在不能变更诉讼、仲裁或执行主体等情形；</w:t>
      </w:r>
    </w:p>
    <w:p>
      <w:pPr>
        <w:pStyle w:val="9"/>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（2</w:t>
      </w:r>
      <w:r>
        <w:rPr>
          <w:rFonts w:hint="eastAsia" w:hAnsi="仿宋_GB2312" w:cs="仿宋_GB2312"/>
          <w:color w:val="auto"/>
          <w:kern w:val="2"/>
          <w:sz w:val="32"/>
          <w:szCs w:val="32"/>
          <w:highlight w:val="none"/>
          <w:lang w:val="en-US" w:eastAsia="zh-CN"/>
        </w:rPr>
        <w:t>0</w:t>
      </w:r>
      <w:r>
        <w:rPr>
          <w:rFonts w:hint="eastAsia" w:ascii="仿宋_GB2312" w:hAnsi="仿宋_GB2312" w:eastAsia="仿宋_GB2312" w:cs="仿宋_GB2312"/>
          <w:color w:val="auto"/>
          <w:kern w:val="2"/>
          <w:sz w:val="32"/>
          <w:szCs w:val="32"/>
          <w:highlight w:val="none"/>
          <w:lang w:val="en-US" w:eastAsia="zh-CN"/>
        </w:rPr>
        <w:t>）</w:t>
      </w:r>
      <w:r>
        <w:rPr>
          <w:rFonts w:hint="eastAsia" w:hAnsi="仿宋_GB2312" w:cs="仿宋_GB2312"/>
          <w:color w:val="auto"/>
          <w:kern w:val="2"/>
          <w:sz w:val="32"/>
          <w:szCs w:val="32"/>
          <w:highlight w:val="none"/>
          <w:lang w:val="en-US" w:eastAsia="zh-CN"/>
        </w:rPr>
        <w:t>在</w:t>
      </w:r>
      <w:r>
        <w:rPr>
          <w:rFonts w:hint="eastAsia" w:ascii="仿宋_GB2312" w:hAnsi="仿宋_GB2312" w:eastAsia="仿宋_GB2312" w:cs="仿宋_GB2312"/>
          <w:color w:val="auto"/>
          <w:kern w:val="2"/>
          <w:sz w:val="32"/>
          <w:szCs w:val="32"/>
          <w:highlight w:val="none"/>
          <w:lang w:val="en-US" w:eastAsia="zh-CN"/>
        </w:rPr>
        <w:t>标的</w:t>
      </w:r>
      <w:r>
        <w:rPr>
          <w:rFonts w:hint="eastAsia" w:hAnsi="仿宋_GB2312" w:cs="仿宋_GB2312"/>
          <w:color w:val="auto"/>
          <w:kern w:val="2"/>
          <w:sz w:val="32"/>
          <w:szCs w:val="32"/>
          <w:highlight w:val="none"/>
          <w:lang w:val="en-US" w:eastAsia="zh-CN"/>
        </w:rPr>
        <w:t>资产</w:t>
      </w:r>
      <w:r>
        <w:rPr>
          <w:rFonts w:hint="eastAsia" w:ascii="仿宋_GB2312" w:hAnsi="仿宋_GB2312" w:eastAsia="仿宋_GB2312" w:cs="仿宋_GB2312"/>
          <w:color w:val="auto"/>
          <w:kern w:val="2"/>
          <w:sz w:val="32"/>
          <w:szCs w:val="32"/>
          <w:highlight w:val="none"/>
          <w:lang w:val="en-US" w:eastAsia="zh-CN"/>
        </w:rPr>
        <w:t>的处置公示中，由于债权基准日的不同，可能</w:t>
      </w:r>
      <w:r>
        <w:rPr>
          <w:rFonts w:hint="eastAsia" w:hAnsi="仿宋_GB2312" w:cs="仿宋_GB2312"/>
          <w:color w:val="auto"/>
          <w:kern w:val="2"/>
          <w:sz w:val="32"/>
          <w:szCs w:val="32"/>
          <w:highlight w:val="none"/>
          <w:lang w:val="en-US" w:eastAsia="zh-CN"/>
        </w:rPr>
        <w:t>导致在相应</w:t>
      </w:r>
      <w:r>
        <w:rPr>
          <w:rFonts w:hint="eastAsia" w:ascii="仿宋_GB2312" w:hAnsi="仿宋_GB2312" w:eastAsia="仿宋_GB2312" w:cs="仿宋_GB2312"/>
          <w:color w:val="auto"/>
          <w:kern w:val="2"/>
          <w:sz w:val="32"/>
          <w:szCs w:val="32"/>
          <w:highlight w:val="none"/>
          <w:lang w:val="en-US" w:eastAsia="zh-CN"/>
        </w:rPr>
        <w:t>网站</w:t>
      </w:r>
      <w:r>
        <w:rPr>
          <w:rFonts w:hint="eastAsia" w:hAnsi="仿宋_GB2312" w:cs="仿宋_GB2312"/>
          <w:color w:val="auto"/>
          <w:kern w:val="2"/>
          <w:sz w:val="32"/>
          <w:szCs w:val="32"/>
          <w:highlight w:val="none"/>
          <w:lang w:val="en-US" w:eastAsia="zh-CN"/>
        </w:rPr>
        <w:t>、</w:t>
      </w:r>
      <w:r>
        <w:rPr>
          <w:rFonts w:hint="eastAsia" w:ascii="仿宋_GB2312" w:hAnsi="仿宋_GB2312" w:eastAsia="仿宋_GB2312" w:cs="仿宋_GB2312"/>
          <w:color w:val="auto"/>
          <w:kern w:val="2"/>
          <w:sz w:val="32"/>
          <w:szCs w:val="32"/>
          <w:highlight w:val="none"/>
          <w:lang w:val="en-US" w:eastAsia="zh-CN"/>
        </w:rPr>
        <w:t>报纸上</w:t>
      </w:r>
      <w:r>
        <w:rPr>
          <w:rFonts w:hint="eastAsia" w:hAnsi="仿宋_GB2312" w:cs="仿宋_GB2312"/>
          <w:color w:val="auto"/>
          <w:kern w:val="2"/>
          <w:sz w:val="32"/>
          <w:szCs w:val="32"/>
          <w:highlight w:val="none"/>
          <w:lang w:val="en-US" w:eastAsia="zh-CN"/>
        </w:rPr>
        <w:t>表述的标的资产债权金额及相关信息不完全一致；</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highlight w:val="none"/>
          <w:lang w:val="en-US" w:eastAsia="zh-CN"/>
        </w:rPr>
      </w:pPr>
      <w:r>
        <w:rPr>
          <w:rFonts w:hint="eastAsia" w:ascii="仿宋_GB2312" w:hAnsi="仿宋_GB2312" w:eastAsia="仿宋_GB2312" w:cs="仿宋_GB2312"/>
          <w:color w:val="000000"/>
          <w:sz w:val="32"/>
          <w:szCs w:val="32"/>
          <w:highlight w:val="none"/>
          <w:lang w:val="en-US" w:eastAsia="zh-CN"/>
        </w:rPr>
        <w:t>（21）</w:t>
      </w:r>
      <w:r>
        <w:rPr>
          <w:rFonts w:hint="eastAsia" w:ascii="仿宋_GB2312" w:hAnsi="仿宋_GB2312" w:eastAsia="仿宋_GB2312" w:cs="仿宋_GB2312"/>
          <w:b w:val="0"/>
          <w:bCs w:val="0"/>
          <w:color w:val="auto"/>
          <w:sz w:val="32"/>
          <w:szCs w:val="32"/>
          <w:highlight w:val="none"/>
          <w:lang w:val="en-US" w:eastAsia="zh-CN"/>
        </w:rPr>
        <w:t>可能存在在诉讼过程中发生因债权转让导致主诉即衍生案件被法院驳回起诉的风险。</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（22）可能存在终审判决中法院确权的债权金额与公告中披露的债权金额不一致的情况。</w:t>
      </w:r>
    </w:p>
    <w:p>
      <w:pPr>
        <w:pStyle w:val="2"/>
        <w:ind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（23）可能存在抵押物被销售、占用、抵债、回迁给第三方的情况。</w:t>
      </w:r>
    </w:p>
    <w:p>
      <w:pPr>
        <w:pStyle w:val="2"/>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000000"/>
          <w:sz w:val="32"/>
          <w:szCs w:val="32"/>
          <w:highlight w:val="none"/>
          <w:lang w:val="en-US" w:eastAsia="zh-CN"/>
        </w:rPr>
        <w:t>（24）</w:t>
      </w:r>
      <w:r>
        <w:rPr>
          <w:rFonts w:hint="eastAsia" w:ascii="仿宋_GB2312" w:hAnsi="仿宋_GB2312" w:eastAsia="仿宋_GB2312" w:cs="仿宋_GB2312"/>
          <w:b w:val="0"/>
          <w:bCs w:val="0"/>
          <w:sz w:val="32"/>
          <w:szCs w:val="32"/>
          <w:lang w:val="en-US" w:eastAsia="zh-CN"/>
        </w:rPr>
        <w:t>可能存在判决金额与公告债权金额不同的情况。</w:t>
      </w:r>
    </w:p>
    <w:p>
      <w:pPr>
        <w:pStyle w:val="2"/>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（25）</w:t>
      </w:r>
      <w:r>
        <w:rPr>
          <w:rFonts w:hint="eastAsia" w:ascii="仿宋_GB2312" w:hAnsi="仿宋_GB2312" w:eastAsia="仿宋_GB2312" w:cs="仿宋_GB2312"/>
          <w:b w:val="0"/>
          <w:bCs w:val="0"/>
          <w:kern w:val="2"/>
          <w:sz w:val="32"/>
          <w:szCs w:val="32"/>
          <w:lang w:val="en-US" w:eastAsia="zh-CN" w:bidi="ar-SA"/>
        </w:rPr>
        <w:t>抵押物可能涉及涉及工程款纠纷，或存在</w:t>
      </w:r>
      <w:r>
        <w:rPr>
          <w:rFonts w:hint="eastAsia" w:ascii="仿宋_GB2312" w:hAnsi="仿宋_GB2312" w:eastAsia="仿宋_GB2312" w:cs="仿宋_GB2312"/>
          <w:sz w:val="32"/>
          <w:szCs w:val="32"/>
        </w:rPr>
        <w:t>抵押权因出具同意办理预售在被认定为放弃的可能</w:t>
      </w:r>
      <w:r>
        <w:rPr>
          <w:rFonts w:hint="eastAsia" w:ascii="仿宋_GB2312" w:hAnsi="仿宋_GB2312" w:eastAsia="仿宋_GB2312" w:cs="仿宋_GB2312"/>
          <w:sz w:val="32"/>
          <w:szCs w:val="32"/>
          <w:lang w:eastAsia="zh-CN"/>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color w:val="auto"/>
          <w:sz w:val="32"/>
          <w:szCs w:val="32"/>
          <w:highlight w:val="none"/>
        </w:rPr>
        <w:t>无法排除</w:t>
      </w:r>
      <w:r>
        <w:rPr>
          <w:rFonts w:hint="eastAsia" w:ascii="仿宋_GB2312" w:hAnsi="仿宋_GB2312" w:eastAsia="仿宋_GB2312" w:cs="仿宋_GB2312"/>
          <w:color w:val="auto"/>
          <w:sz w:val="32"/>
          <w:szCs w:val="32"/>
          <w:highlight w:val="none"/>
          <w:lang w:eastAsia="zh-CN"/>
        </w:rPr>
        <w:t>标的资产</w:t>
      </w:r>
      <w:r>
        <w:rPr>
          <w:rFonts w:hint="eastAsia" w:ascii="仿宋_GB2312" w:hAnsi="仿宋_GB2312" w:eastAsia="仿宋_GB2312" w:cs="仿宋_GB2312"/>
          <w:color w:val="auto"/>
          <w:sz w:val="32"/>
          <w:szCs w:val="32"/>
          <w:highlight w:val="none"/>
        </w:rPr>
        <w:t>存在以下瑕疵：</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color w:val="auto"/>
          <w:sz w:val="32"/>
          <w:szCs w:val="32"/>
          <w:highlight w:val="none"/>
        </w:rPr>
        <w:t>除</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color w:val="auto"/>
          <w:sz w:val="32"/>
          <w:szCs w:val="32"/>
          <w:highlight w:val="none"/>
        </w:rPr>
        <w:t>以外</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第三</w:t>
      </w:r>
      <w:r>
        <w:rPr>
          <w:rFonts w:hint="eastAsia" w:ascii="仿宋_GB2312" w:hAnsi="仿宋_GB2312" w:eastAsia="仿宋_GB2312" w:cs="仿宋_GB2312"/>
          <w:color w:val="auto"/>
          <w:sz w:val="32"/>
          <w:szCs w:val="32"/>
          <w:highlight w:val="none"/>
          <w:lang w:eastAsia="zh-CN"/>
        </w:rPr>
        <w:t>方</w:t>
      </w:r>
      <w:r>
        <w:rPr>
          <w:rFonts w:hint="eastAsia" w:ascii="仿宋_GB2312" w:hAnsi="仿宋_GB2312" w:eastAsia="仿宋_GB2312" w:cs="仿宋_GB2312"/>
          <w:color w:val="auto"/>
          <w:sz w:val="32"/>
          <w:szCs w:val="32"/>
          <w:highlight w:val="none"/>
        </w:rPr>
        <w:t>提供资料的</w:t>
      </w:r>
      <w:r>
        <w:rPr>
          <w:rFonts w:hint="eastAsia" w:ascii="仿宋_GB2312" w:hAnsi="仿宋_GB2312" w:eastAsia="仿宋_GB2312" w:cs="仿宋_GB2312"/>
          <w:color w:val="auto"/>
          <w:sz w:val="32"/>
          <w:szCs w:val="32"/>
          <w:highlight w:val="none"/>
          <w:lang w:eastAsia="zh-CN"/>
        </w:rPr>
        <w:t>全面、</w:t>
      </w:r>
      <w:r>
        <w:rPr>
          <w:rFonts w:hint="eastAsia" w:ascii="仿宋_GB2312" w:hAnsi="仿宋_GB2312" w:eastAsia="仿宋_GB2312" w:cs="仿宋_GB2312"/>
          <w:color w:val="auto"/>
          <w:sz w:val="32"/>
          <w:szCs w:val="32"/>
          <w:highlight w:val="none"/>
        </w:rPr>
        <w:t>真伪；</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（2）潜在的第三人对</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项下的动产或不动产</w:t>
      </w:r>
      <w:r>
        <w:rPr>
          <w:rFonts w:hint="eastAsia" w:ascii="仿宋_GB2312" w:hAnsi="仿宋_GB2312" w:eastAsia="仿宋_GB2312" w:cs="仿宋_GB2312"/>
          <w:sz w:val="32"/>
          <w:szCs w:val="32"/>
          <w:highlight w:val="none"/>
          <w:lang w:eastAsia="zh-CN"/>
        </w:rPr>
        <w:t>等</w:t>
      </w:r>
      <w:r>
        <w:rPr>
          <w:rFonts w:hint="eastAsia" w:ascii="仿宋_GB2312" w:hAnsi="仿宋_GB2312" w:eastAsia="仿宋_GB2312" w:cs="仿宋_GB2312"/>
          <w:sz w:val="32"/>
          <w:szCs w:val="32"/>
          <w:highlight w:val="none"/>
        </w:rPr>
        <w:t>提出优先权或其他主张；</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（3）</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项下的</w:t>
      </w:r>
      <w:r>
        <w:rPr>
          <w:rFonts w:hint="eastAsia" w:ascii="仿宋_GB2312" w:hAnsi="仿宋_GB2312" w:eastAsia="仿宋_GB2312" w:cs="仿宋_GB2312"/>
          <w:sz w:val="32"/>
          <w:szCs w:val="32"/>
          <w:highlight w:val="none"/>
          <w:lang w:val="en-US" w:eastAsia="zh-CN"/>
        </w:rPr>
        <w:t>动产或</w:t>
      </w:r>
      <w:r>
        <w:rPr>
          <w:rFonts w:hint="eastAsia" w:ascii="仿宋_GB2312" w:hAnsi="仿宋_GB2312" w:eastAsia="仿宋_GB2312" w:cs="仿宋_GB2312"/>
          <w:sz w:val="32"/>
          <w:szCs w:val="32"/>
          <w:highlight w:val="none"/>
        </w:rPr>
        <w:t>不动产与相关资料或凭证</w:t>
      </w:r>
      <w:r>
        <w:rPr>
          <w:rFonts w:hint="eastAsia" w:ascii="仿宋_GB2312" w:hAnsi="仿宋_GB2312" w:eastAsia="仿宋_GB2312" w:cs="仿宋_GB2312"/>
          <w:sz w:val="32"/>
          <w:szCs w:val="32"/>
          <w:highlight w:val="none"/>
          <w:lang w:eastAsia="zh-CN"/>
        </w:rPr>
        <w:t>上的登记信息存在</w:t>
      </w:r>
      <w:r>
        <w:rPr>
          <w:rFonts w:hint="eastAsia" w:ascii="仿宋_GB2312" w:hAnsi="仿宋_GB2312" w:eastAsia="仿宋_GB2312" w:cs="仿宋_GB2312"/>
          <w:sz w:val="32"/>
          <w:szCs w:val="32"/>
          <w:highlight w:val="none"/>
        </w:rPr>
        <w:t>差异；</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（4）</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项下的</w:t>
      </w:r>
      <w:r>
        <w:rPr>
          <w:rFonts w:hint="eastAsia" w:ascii="仿宋_GB2312" w:hAnsi="仿宋_GB2312" w:eastAsia="仿宋_GB2312" w:cs="仿宋_GB2312"/>
          <w:sz w:val="32"/>
          <w:szCs w:val="32"/>
          <w:highlight w:val="none"/>
          <w:lang w:val="en-US" w:eastAsia="zh-CN"/>
        </w:rPr>
        <w:t>动产或</w:t>
      </w:r>
      <w:r>
        <w:rPr>
          <w:rFonts w:hint="eastAsia" w:ascii="仿宋_GB2312" w:hAnsi="仿宋_GB2312" w:eastAsia="仿宋_GB2312" w:cs="仿宋_GB2312"/>
          <w:sz w:val="32"/>
          <w:szCs w:val="32"/>
          <w:highlight w:val="none"/>
        </w:rPr>
        <w:t>不动产因</w:t>
      </w:r>
      <w:r>
        <w:rPr>
          <w:rFonts w:hint="eastAsia" w:ascii="仿宋_GB2312" w:hAnsi="仿宋_GB2312" w:eastAsia="仿宋_GB2312" w:cs="仿宋_GB2312"/>
          <w:sz w:val="32"/>
          <w:szCs w:val="32"/>
          <w:highlight w:val="none"/>
          <w:lang w:eastAsia="zh-CN"/>
        </w:rPr>
        <w:t>被租赁、借用或</w:t>
      </w:r>
      <w:r>
        <w:rPr>
          <w:rFonts w:hint="eastAsia" w:ascii="仿宋_GB2312" w:hAnsi="仿宋_GB2312" w:eastAsia="仿宋_GB2312" w:cs="仿宋_GB2312"/>
          <w:sz w:val="32"/>
          <w:szCs w:val="32"/>
          <w:highlight w:val="none"/>
        </w:rPr>
        <w:t>占用等情形，可能影响买受人行使占有、使用、收益、处分</w:t>
      </w:r>
      <w:r>
        <w:rPr>
          <w:rFonts w:hint="eastAsia" w:ascii="仿宋_GB2312" w:hAnsi="仿宋_GB2312" w:eastAsia="仿宋_GB2312" w:cs="仿宋_GB2312"/>
          <w:sz w:val="32"/>
          <w:szCs w:val="32"/>
          <w:highlight w:val="none"/>
          <w:lang w:eastAsia="zh-CN"/>
        </w:rPr>
        <w:t>等</w:t>
      </w:r>
      <w:r>
        <w:rPr>
          <w:rFonts w:hint="eastAsia" w:ascii="仿宋_GB2312" w:hAnsi="仿宋_GB2312" w:eastAsia="仿宋_GB2312" w:cs="仿宋_GB2312"/>
          <w:sz w:val="32"/>
          <w:szCs w:val="32"/>
          <w:highlight w:val="none"/>
        </w:rPr>
        <w:t>权利</w:t>
      </w:r>
      <w:r>
        <w:rPr>
          <w:rFonts w:hint="eastAsia" w:ascii="仿宋_GB2312" w:hAnsi="仿宋_GB2312" w:eastAsia="仿宋_GB2312" w:cs="仿宋_GB2312"/>
          <w:sz w:val="32"/>
          <w:szCs w:val="32"/>
          <w:highlight w:val="none"/>
          <w:lang w:eastAsia="zh-CN"/>
        </w:rPr>
        <w:t>。</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对已经破产终结的债权无追索对象</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执行终结的债权法院可能不再恢复执行等情况，</w:t>
      </w:r>
      <w:r>
        <w:rPr>
          <w:rFonts w:hint="eastAsia" w:ascii="仿宋_GB2312" w:hAnsi="仿宋_GB2312" w:eastAsia="仿宋_GB2312" w:cs="仿宋_GB2312"/>
          <w:sz w:val="32"/>
          <w:szCs w:val="32"/>
          <w:highlight w:val="none"/>
          <w:lang w:eastAsia="zh-CN"/>
        </w:rPr>
        <w:t>竞买</w:t>
      </w:r>
      <w:r>
        <w:rPr>
          <w:rFonts w:hint="eastAsia" w:ascii="仿宋_GB2312" w:hAnsi="仿宋_GB2312" w:eastAsia="仿宋_GB2312" w:cs="仿宋_GB2312"/>
          <w:sz w:val="32"/>
          <w:szCs w:val="32"/>
          <w:highlight w:val="none"/>
        </w:rPr>
        <w:t>人已充分知情</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自愿购买</w:t>
      </w:r>
      <w:r>
        <w:rPr>
          <w:rFonts w:hint="eastAsia" w:ascii="仿宋_GB2312" w:hAnsi="仿宋_GB2312" w:eastAsia="仿宋_GB2312" w:cs="仿宋_GB2312"/>
          <w:sz w:val="32"/>
          <w:szCs w:val="32"/>
          <w:highlight w:val="none"/>
          <w:lang w:eastAsia="zh-CN"/>
        </w:rPr>
        <w:t>标的资产后不得向</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lang w:eastAsia="zh-CN"/>
        </w:rPr>
        <w:t>主张任何权利。</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三、竞买人资格及特别提示</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1.竞买人</w:t>
      </w:r>
      <w:r>
        <w:rPr>
          <w:rFonts w:hint="eastAsia" w:ascii="仿宋_GB2312" w:hAnsi="仿宋_GB2312" w:eastAsia="仿宋_GB2312" w:cs="仿宋_GB2312"/>
          <w:sz w:val="32"/>
          <w:szCs w:val="32"/>
          <w:highlight w:val="none"/>
        </w:rPr>
        <w:t>应当是具有完全民事行为能力、支付能力的</w:t>
      </w:r>
      <w:r>
        <w:rPr>
          <w:rFonts w:hint="eastAsia" w:ascii="仿宋_GB2312" w:hAnsi="仿宋_GB2312" w:eastAsia="仿宋_GB2312" w:cs="仿宋_GB2312"/>
          <w:sz w:val="32"/>
          <w:szCs w:val="32"/>
          <w:highlight w:val="none"/>
          <w:lang w:eastAsia="zh-CN"/>
        </w:rPr>
        <w:t>自然人，合法成立且有支付能力的</w:t>
      </w:r>
      <w:r>
        <w:rPr>
          <w:rFonts w:hint="eastAsia" w:ascii="仿宋_GB2312" w:hAnsi="仿宋_GB2312" w:eastAsia="仿宋_GB2312" w:cs="仿宋_GB2312"/>
          <w:sz w:val="32"/>
          <w:szCs w:val="32"/>
          <w:highlight w:val="none"/>
        </w:rPr>
        <w:t>法人和其他组织</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但下列人员</w:t>
      </w:r>
      <w:r>
        <w:rPr>
          <w:rFonts w:hint="eastAsia" w:ascii="仿宋_GB2312" w:hAnsi="仿宋_GB2312" w:eastAsia="仿宋_GB2312" w:cs="仿宋_GB2312"/>
          <w:sz w:val="32"/>
          <w:szCs w:val="32"/>
          <w:highlight w:val="none"/>
        </w:rPr>
        <w:t>不得购买或变相购买</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Cs/>
          <w:sz w:val="32"/>
          <w:szCs w:val="32"/>
        </w:rPr>
        <w:t>国家公务员、金融监管机构工作人员、政法干警、金融资产公司工作人员、</w:t>
      </w:r>
      <w:r>
        <w:rPr>
          <w:rFonts w:hint="eastAsia" w:ascii="仿宋_GB2312" w:hAnsi="仿宋_GB2312" w:eastAsia="仿宋_GB2312" w:cs="仿宋_GB2312"/>
          <w:bCs/>
          <w:sz w:val="32"/>
          <w:szCs w:val="32"/>
          <w:lang w:val="en-US" w:eastAsia="zh-CN"/>
        </w:rPr>
        <w:t>原</w:t>
      </w:r>
      <w:r>
        <w:rPr>
          <w:rFonts w:hint="eastAsia" w:ascii="仿宋_GB2312" w:hAnsi="仿宋_GB2312" w:eastAsia="仿宋_GB2312" w:cs="仿宋_GB2312"/>
          <w:bCs/>
          <w:sz w:val="32"/>
          <w:szCs w:val="32"/>
        </w:rPr>
        <w:t>债务人的管理层</w:t>
      </w:r>
      <w:r>
        <w:rPr>
          <w:rFonts w:hint="eastAsia" w:ascii="仿宋_GB2312" w:hAnsi="仿宋_GB2312" w:eastAsia="仿宋_GB2312" w:cs="仿宋_GB2312"/>
          <w:bCs/>
          <w:sz w:val="32"/>
          <w:szCs w:val="32"/>
          <w:lang w:val="en-US" w:eastAsia="zh-CN"/>
        </w:rPr>
        <w:t>或其直系亲属</w:t>
      </w:r>
      <w:r>
        <w:rPr>
          <w:rFonts w:hint="eastAsia" w:ascii="仿宋_GB2312" w:hAnsi="仿宋_GB2312" w:eastAsia="仿宋_GB2312" w:cs="仿宋_GB2312"/>
          <w:bCs/>
          <w:sz w:val="32"/>
          <w:szCs w:val="32"/>
        </w:rPr>
        <w:t>以及参与资产处置工作的律师、会计师、评估师等中介机构人员等关联人</w:t>
      </w:r>
      <w:r>
        <w:rPr>
          <w:rFonts w:hint="eastAsia" w:ascii="仿宋_GB2312" w:hAnsi="仿宋_GB2312" w:eastAsia="仿宋_GB2312" w:cs="仿宋_GB2312"/>
          <w:sz w:val="32"/>
          <w:szCs w:val="32"/>
          <w:highlight w:val="none"/>
        </w:rPr>
        <w:t>或者上述关联人参与的非金融机构法人，以及参与不良债权转让的资产公司工作人员、</w:t>
      </w:r>
      <w:r>
        <w:rPr>
          <w:rFonts w:hint="eastAsia" w:ascii="仿宋_GB2312" w:hAnsi="仿宋_GB2312" w:eastAsia="仿宋_GB2312" w:cs="仿宋_GB2312"/>
          <w:b/>
          <w:bCs/>
          <w:color w:val="auto"/>
          <w:kern w:val="2"/>
          <w:sz w:val="32"/>
          <w:szCs w:val="32"/>
          <w:highlight w:val="none"/>
          <w:lang w:val="en-US" w:eastAsia="zh-CN"/>
        </w:rPr>
        <w:t>本次转让标的债权所涉及的</w:t>
      </w:r>
      <w:r>
        <w:rPr>
          <w:rFonts w:hint="eastAsia" w:ascii="仿宋_GB2312" w:hAnsi="仿宋_GB2312" w:eastAsia="仿宋_GB2312" w:cs="仿宋_GB2312"/>
          <w:b/>
          <w:bCs/>
          <w:color w:val="auto"/>
          <w:kern w:val="2"/>
          <w:sz w:val="32"/>
          <w:szCs w:val="32"/>
          <w:highlight w:val="none"/>
        </w:rPr>
        <w:t>债务人</w:t>
      </w:r>
      <w:r>
        <w:rPr>
          <w:rFonts w:hint="eastAsia" w:ascii="仿宋_GB2312" w:hAnsi="仿宋_GB2312" w:eastAsia="仿宋_GB2312" w:cs="仿宋_GB2312"/>
          <w:b/>
          <w:bCs/>
          <w:color w:val="auto"/>
          <w:kern w:val="2"/>
          <w:sz w:val="32"/>
          <w:szCs w:val="32"/>
          <w:highlight w:val="none"/>
          <w:lang w:eastAsia="zh-CN"/>
        </w:rPr>
        <w:t>、</w:t>
      </w:r>
      <w:r>
        <w:rPr>
          <w:rFonts w:hint="eastAsia" w:ascii="仿宋_GB2312" w:hAnsi="仿宋_GB2312" w:eastAsia="仿宋_GB2312" w:cs="仿宋_GB2312"/>
          <w:b/>
          <w:bCs/>
          <w:color w:val="auto"/>
          <w:kern w:val="2"/>
          <w:sz w:val="32"/>
          <w:szCs w:val="32"/>
          <w:highlight w:val="none"/>
          <w:lang w:val="en-US" w:eastAsia="zh-CN"/>
        </w:rPr>
        <w:t>担保人及其他相关联企业等利益相关方或者</w:t>
      </w:r>
      <w:r>
        <w:rPr>
          <w:rFonts w:hint="eastAsia" w:ascii="仿宋_GB2312" w:hAnsi="仿宋_GB2312" w:eastAsia="仿宋_GB2312" w:cs="仿宋_GB2312"/>
          <w:sz w:val="32"/>
          <w:szCs w:val="32"/>
          <w:highlight w:val="none"/>
        </w:rPr>
        <w:t>受托资产评估机构负责人员等有直系亲属关系的人员。因不符合条件参加竞买的，由竞买人自行承担相应的法律责任。</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本次公开处置的</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资产为金融不良资产，竞买人须在竞买前对</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及担保情况采取现场踏查、核实资料和实物现状等方式进行独立的调查和判断，</w:t>
      </w:r>
      <w:r>
        <w:rPr>
          <w:rFonts w:hint="eastAsia" w:ascii="仿宋_GB2312" w:hAnsi="仿宋_GB2312" w:eastAsia="仿宋_GB2312" w:cs="仿宋_GB2312"/>
          <w:sz w:val="32"/>
          <w:szCs w:val="32"/>
          <w:highlight w:val="none"/>
          <w:lang w:eastAsia="zh-CN"/>
        </w:rPr>
        <w:t>以</w:t>
      </w:r>
      <w:r>
        <w:rPr>
          <w:rFonts w:hint="eastAsia" w:ascii="仿宋_GB2312" w:hAnsi="仿宋_GB2312" w:eastAsia="仿宋_GB2312" w:cs="仿宋_GB2312"/>
          <w:sz w:val="32"/>
          <w:szCs w:val="32"/>
          <w:highlight w:val="none"/>
        </w:rPr>
        <w:t>详细了解标的</w:t>
      </w:r>
      <w:r>
        <w:rPr>
          <w:rFonts w:hint="eastAsia" w:ascii="仿宋_GB2312" w:hAnsi="仿宋_GB2312" w:eastAsia="仿宋_GB2312" w:cs="仿宋_GB2312"/>
          <w:sz w:val="32"/>
          <w:szCs w:val="32"/>
          <w:highlight w:val="none"/>
          <w:lang w:eastAsia="zh-CN"/>
        </w:rPr>
        <w:t>资产</w:t>
      </w:r>
      <w:r>
        <w:rPr>
          <w:rFonts w:hint="eastAsia" w:ascii="仿宋_GB2312" w:hAnsi="仿宋_GB2312" w:eastAsia="仿宋_GB2312" w:cs="仿宋_GB2312"/>
          <w:sz w:val="32"/>
          <w:szCs w:val="32"/>
          <w:highlight w:val="none"/>
        </w:rPr>
        <w:t>的各项情况，充分认识资产的瑕疵、风险和困难，</w:t>
      </w:r>
      <w:r>
        <w:rPr>
          <w:rFonts w:hint="eastAsia" w:ascii="仿宋_GB2312" w:hAnsi="仿宋_GB2312" w:eastAsia="仿宋_GB2312" w:cs="仿宋_GB2312"/>
          <w:sz w:val="32"/>
          <w:szCs w:val="32"/>
          <w:highlight w:val="none"/>
          <w:lang w:eastAsia="zh-CN"/>
        </w:rPr>
        <w:t>进而</w:t>
      </w:r>
      <w:r>
        <w:rPr>
          <w:rFonts w:hint="eastAsia" w:ascii="仿宋_GB2312" w:hAnsi="仿宋_GB2312" w:eastAsia="仿宋_GB2312" w:cs="仿宋_GB2312"/>
          <w:sz w:val="32"/>
          <w:szCs w:val="32"/>
          <w:highlight w:val="none"/>
        </w:rPr>
        <w:t>独立慎重做出竞买的决定，</w:t>
      </w:r>
      <w:r>
        <w:rPr>
          <w:rFonts w:hint="eastAsia" w:ascii="仿宋_GB2312" w:hAnsi="仿宋_GB2312" w:eastAsia="仿宋_GB2312" w:cs="仿宋_GB2312"/>
          <w:sz w:val="32"/>
          <w:szCs w:val="32"/>
          <w:highlight w:val="none"/>
          <w:lang w:eastAsia="zh-CN"/>
        </w:rPr>
        <w:t>并</w:t>
      </w:r>
      <w:r>
        <w:rPr>
          <w:rFonts w:hint="eastAsia" w:ascii="仿宋_GB2312" w:hAnsi="仿宋_GB2312" w:eastAsia="仿宋_GB2312" w:cs="仿宋_GB2312"/>
          <w:sz w:val="32"/>
          <w:szCs w:val="32"/>
          <w:highlight w:val="none"/>
        </w:rPr>
        <w:t>同意按照现状购买</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资产。竞买人开展的尽职调查</w:t>
      </w:r>
      <w:r>
        <w:rPr>
          <w:rFonts w:hint="eastAsia" w:ascii="仿宋_GB2312" w:hAnsi="仿宋_GB2312" w:eastAsia="仿宋_GB2312" w:cs="仿宋_GB2312"/>
          <w:sz w:val="32"/>
          <w:szCs w:val="32"/>
          <w:highlight w:val="none"/>
          <w:lang w:eastAsia="zh-CN"/>
        </w:rPr>
        <w:t>等</w:t>
      </w:r>
      <w:r>
        <w:rPr>
          <w:rFonts w:hint="eastAsia" w:ascii="仿宋_GB2312" w:hAnsi="仿宋_GB2312" w:eastAsia="仿宋_GB2312" w:cs="仿宋_GB2312"/>
          <w:sz w:val="32"/>
          <w:szCs w:val="32"/>
          <w:highlight w:val="none"/>
        </w:rPr>
        <w:t>工作并不依赖于</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提供的任何与标的</w:t>
      </w:r>
      <w:r>
        <w:rPr>
          <w:rFonts w:hint="eastAsia" w:ascii="仿宋_GB2312" w:hAnsi="仿宋_GB2312" w:eastAsia="仿宋_GB2312" w:cs="仿宋_GB2312"/>
          <w:sz w:val="32"/>
          <w:szCs w:val="32"/>
          <w:highlight w:val="none"/>
          <w:lang w:eastAsia="zh-CN"/>
        </w:rPr>
        <w:t>资产</w:t>
      </w:r>
      <w:r>
        <w:rPr>
          <w:rFonts w:hint="eastAsia" w:ascii="仿宋_GB2312" w:hAnsi="仿宋_GB2312" w:eastAsia="仿宋_GB2312" w:cs="仿宋_GB2312"/>
          <w:sz w:val="32"/>
          <w:szCs w:val="32"/>
          <w:highlight w:val="none"/>
        </w:rPr>
        <w:t>有关的文件、资料、说明或协助。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竞买人已被告知并完全理解，</w:t>
      </w:r>
      <w:r>
        <w:rPr>
          <w:rFonts w:hint="eastAsia" w:ascii="仿宋_GB2312" w:hAnsi="仿宋_GB2312" w:eastAsia="仿宋_GB2312" w:cs="仿宋_GB2312"/>
          <w:sz w:val="32"/>
          <w:szCs w:val="32"/>
          <w:highlight w:val="none"/>
          <w:lang w:eastAsia="zh-CN"/>
        </w:rPr>
        <w:t>标的资产、标的</w:t>
      </w:r>
      <w:r>
        <w:rPr>
          <w:rFonts w:hint="eastAsia" w:ascii="仿宋_GB2312" w:hAnsi="仿宋_GB2312" w:eastAsia="仿宋_GB2312" w:cs="仿宋_GB2312"/>
          <w:sz w:val="32"/>
          <w:szCs w:val="32"/>
          <w:highlight w:val="none"/>
        </w:rPr>
        <w:t>资产权益及其从权利，可能存在着瑕疵或尚未发现的重大缺陷，</w:t>
      </w:r>
      <w:r>
        <w:rPr>
          <w:rFonts w:hint="eastAsia" w:ascii="仿宋_GB2312" w:hAnsi="仿宋_GB2312" w:eastAsia="仿宋_GB2312" w:cs="仿宋_GB2312"/>
          <w:sz w:val="32"/>
          <w:szCs w:val="32"/>
          <w:highlight w:val="none"/>
          <w:lang w:eastAsia="zh-CN"/>
        </w:rPr>
        <w:t>可能导致其</w:t>
      </w:r>
      <w:r>
        <w:rPr>
          <w:rFonts w:hint="eastAsia" w:ascii="仿宋_GB2312" w:hAnsi="仿宋_GB2312" w:eastAsia="仿宋_GB2312" w:cs="仿宋_GB2312"/>
          <w:sz w:val="32"/>
          <w:szCs w:val="32"/>
          <w:highlight w:val="none"/>
        </w:rPr>
        <w:t>预期利益无法最终实现。</w:t>
      </w:r>
      <w:r>
        <w:rPr>
          <w:rFonts w:hint="eastAsia" w:ascii="仿宋_GB2312" w:hAnsi="仿宋_GB2312" w:eastAsia="仿宋_GB2312" w:cs="仿宋_GB2312"/>
          <w:sz w:val="32"/>
          <w:szCs w:val="32"/>
          <w:highlight w:val="none"/>
          <w:lang w:eastAsia="zh-CN"/>
        </w:rPr>
        <w:t>竞买人</w:t>
      </w:r>
      <w:r>
        <w:rPr>
          <w:rFonts w:hint="eastAsia" w:ascii="仿宋_GB2312" w:hAnsi="仿宋_GB2312" w:eastAsia="仿宋_GB2312" w:cs="仿宋_GB2312"/>
          <w:sz w:val="32"/>
          <w:szCs w:val="32"/>
          <w:highlight w:val="none"/>
        </w:rPr>
        <w:t>承诺不因已存在的妨碍资产价值实现的事实或潜在风险而对受让该资产提出任何抗辩或主张权利。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凡竞买人参与竞买的，视为已充分了解已知风险并自愿承担未知风险。竞买人应在充分了解标的</w:t>
      </w:r>
      <w:r>
        <w:rPr>
          <w:rFonts w:hint="eastAsia" w:ascii="仿宋_GB2312" w:hAnsi="仿宋_GB2312" w:eastAsia="仿宋_GB2312" w:cs="仿宋_GB2312"/>
          <w:sz w:val="32"/>
          <w:szCs w:val="32"/>
          <w:highlight w:val="none"/>
          <w:lang w:eastAsia="zh-CN"/>
        </w:rPr>
        <w:t>资产</w:t>
      </w:r>
      <w:r>
        <w:rPr>
          <w:rFonts w:hint="eastAsia" w:ascii="仿宋_GB2312" w:hAnsi="仿宋_GB2312" w:eastAsia="仿宋_GB2312" w:cs="仿宋_GB2312"/>
          <w:sz w:val="32"/>
          <w:szCs w:val="32"/>
          <w:highlight w:val="none"/>
        </w:rPr>
        <w:t>的前提下自行决定是否购买，竞买人一旦竞得</w:t>
      </w:r>
      <w:r>
        <w:rPr>
          <w:rFonts w:hint="eastAsia" w:ascii="仿宋_GB2312" w:hAnsi="仿宋_GB2312" w:eastAsia="仿宋_GB2312" w:cs="仿宋_GB2312"/>
          <w:sz w:val="32"/>
          <w:szCs w:val="32"/>
          <w:highlight w:val="none"/>
          <w:lang w:eastAsia="zh-CN"/>
        </w:rPr>
        <w:t>标的资产</w:t>
      </w:r>
      <w:r>
        <w:rPr>
          <w:rFonts w:hint="eastAsia" w:ascii="仿宋_GB2312" w:hAnsi="仿宋_GB2312" w:eastAsia="仿宋_GB2312" w:cs="仿宋_GB2312"/>
          <w:sz w:val="32"/>
          <w:szCs w:val="32"/>
          <w:highlight w:val="none"/>
        </w:rPr>
        <w:t>后，能否实现债权、如何实现债权并为此支付的相关费用，均由买受人自行承担，</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不做任何承诺，不承担任何责任。</w:t>
      </w:r>
    </w:p>
    <w:p>
      <w:pPr>
        <w:pageBreakBefore w:val="0"/>
        <w:numPr>
          <w:ilvl w:val="0"/>
          <w:numId w:val="0"/>
        </w:numPr>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竞买人受让</w:t>
      </w:r>
      <w:r>
        <w:rPr>
          <w:rFonts w:hint="eastAsia" w:ascii="仿宋_GB2312" w:hAnsi="仿宋_GB2312" w:eastAsia="仿宋_GB2312" w:cs="仿宋_GB2312"/>
          <w:sz w:val="32"/>
          <w:szCs w:val="32"/>
          <w:highlight w:val="none"/>
          <w:lang w:eastAsia="zh-CN"/>
        </w:rPr>
        <w:t>标的</w:t>
      </w:r>
      <w:r>
        <w:rPr>
          <w:rFonts w:hint="eastAsia" w:ascii="仿宋_GB2312" w:hAnsi="仿宋_GB2312" w:eastAsia="仿宋_GB2312" w:cs="仿宋_GB2312"/>
          <w:sz w:val="32"/>
          <w:szCs w:val="32"/>
          <w:highlight w:val="none"/>
        </w:rPr>
        <w:t>资产后，任何情况下不得以任何理由向</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（含</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lang w:val="en-US" w:eastAsia="zh-CN"/>
        </w:rPr>
        <w:t>总部及其他分支</w:t>
      </w:r>
      <w:r>
        <w:rPr>
          <w:rFonts w:hint="eastAsia" w:ascii="仿宋_GB2312" w:hAnsi="仿宋_GB2312" w:eastAsia="仿宋_GB2312" w:cs="仿宋_GB2312"/>
          <w:sz w:val="32"/>
          <w:szCs w:val="32"/>
          <w:highlight w:val="none"/>
        </w:rPr>
        <w:t>机构，下同）或</w:t>
      </w:r>
      <w:r>
        <w:rPr>
          <w:rFonts w:hint="eastAsia" w:ascii="仿宋_GB2312" w:hAnsi="仿宋_GB2312" w:eastAsia="仿宋_GB2312" w:cs="仿宋_GB2312"/>
          <w:sz w:val="32"/>
          <w:szCs w:val="32"/>
          <w:highlight w:val="none"/>
          <w:lang w:val="en-US" w:eastAsia="zh-CN"/>
        </w:rPr>
        <w:t>原债权</w:t>
      </w:r>
      <w:r>
        <w:rPr>
          <w:rFonts w:hint="eastAsia" w:ascii="仿宋_GB2312" w:hAnsi="仿宋_GB2312" w:eastAsia="仿宋_GB2312" w:cs="仿宋_GB2312"/>
          <w:sz w:val="32"/>
          <w:szCs w:val="32"/>
          <w:highlight w:val="none"/>
        </w:rPr>
        <w:t>银行及其分支机构追索或提起诉讼、资产退回、置换</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赔偿等</w:t>
      </w:r>
      <w:r>
        <w:rPr>
          <w:rFonts w:hint="eastAsia" w:ascii="仿宋_GB2312" w:hAnsi="仿宋_GB2312" w:eastAsia="仿宋_GB2312" w:cs="仿宋_GB2312"/>
          <w:sz w:val="32"/>
          <w:szCs w:val="32"/>
          <w:highlight w:val="none"/>
          <w:lang w:eastAsia="zh-CN"/>
        </w:rPr>
        <w:t>任何</w:t>
      </w:r>
      <w:r>
        <w:rPr>
          <w:rFonts w:hint="eastAsia" w:ascii="仿宋_GB2312" w:hAnsi="仿宋_GB2312" w:eastAsia="仿宋_GB2312" w:cs="仿宋_GB2312"/>
          <w:sz w:val="32"/>
          <w:szCs w:val="32"/>
          <w:highlight w:val="none"/>
        </w:rPr>
        <w:t>权利主张要求</w:t>
      </w:r>
      <w:r>
        <w:rPr>
          <w:rFonts w:hint="eastAsia" w:ascii="仿宋_GB2312" w:hAnsi="仿宋_GB2312" w:eastAsia="仿宋_GB2312" w:cs="仿宋_GB2312"/>
          <w:sz w:val="32"/>
          <w:szCs w:val="32"/>
          <w:highlight w:val="none"/>
          <w:lang w:eastAsia="zh-CN"/>
        </w:rPr>
        <w:t>。如竞买人</w:t>
      </w:r>
      <w:r>
        <w:rPr>
          <w:rFonts w:hint="eastAsia" w:ascii="仿宋_GB2312" w:hAnsi="仿宋_GB2312" w:eastAsia="仿宋_GB2312" w:cs="仿宋_GB2312"/>
          <w:sz w:val="32"/>
          <w:szCs w:val="32"/>
          <w:highlight w:val="none"/>
        </w:rPr>
        <w:t>在将标的资产转让给第三人</w:t>
      </w:r>
      <w:r>
        <w:rPr>
          <w:rFonts w:hint="eastAsia" w:ascii="仿宋_GB2312" w:hAnsi="仿宋_GB2312" w:eastAsia="仿宋_GB2312" w:cs="仿宋_GB2312"/>
          <w:sz w:val="32"/>
          <w:szCs w:val="32"/>
          <w:highlight w:val="none"/>
          <w:lang w:eastAsia="zh-CN"/>
        </w:rPr>
        <w:t>的</w:t>
      </w:r>
      <w:r>
        <w:rPr>
          <w:rFonts w:hint="eastAsia" w:ascii="仿宋_GB2312" w:hAnsi="仿宋_GB2312" w:eastAsia="仿宋_GB2312" w:cs="仿宋_GB2312"/>
          <w:sz w:val="32"/>
          <w:szCs w:val="32"/>
          <w:highlight w:val="none"/>
        </w:rPr>
        <w:t>也应明确约定，</w:t>
      </w:r>
      <w:r>
        <w:rPr>
          <w:rFonts w:hint="eastAsia" w:ascii="仿宋_GB2312" w:hAnsi="仿宋_GB2312" w:eastAsia="仿宋_GB2312" w:cs="仿宋_GB2312"/>
          <w:sz w:val="32"/>
          <w:szCs w:val="32"/>
          <w:highlight w:val="none"/>
          <w:lang w:eastAsia="zh-CN"/>
        </w:rPr>
        <w:t>第三人</w:t>
      </w:r>
      <w:r>
        <w:rPr>
          <w:rFonts w:hint="eastAsia" w:ascii="仿宋_GB2312" w:hAnsi="仿宋_GB2312" w:eastAsia="仿宋_GB2312" w:cs="仿宋_GB2312"/>
          <w:sz w:val="32"/>
          <w:szCs w:val="32"/>
          <w:highlight w:val="none"/>
        </w:rPr>
        <w:t>不</w:t>
      </w:r>
      <w:r>
        <w:rPr>
          <w:rFonts w:hint="eastAsia" w:ascii="仿宋_GB2312" w:hAnsi="仿宋_GB2312" w:eastAsia="仿宋_GB2312" w:cs="仿宋_GB2312"/>
          <w:sz w:val="32"/>
          <w:szCs w:val="32"/>
          <w:highlight w:val="none"/>
          <w:lang w:eastAsia="zh-CN"/>
        </w:rPr>
        <w:t>得</w:t>
      </w:r>
      <w:r>
        <w:rPr>
          <w:rFonts w:hint="eastAsia" w:ascii="仿宋_GB2312" w:hAnsi="仿宋_GB2312" w:eastAsia="仿宋_GB2312" w:cs="仿宋_GB2312"/>
          <w:sz w:val="32"/>
          <w:szCs w:val="32"/>
          <w:highlight w:val="none"/>
        </w:rPr>
        <w:t>就该标的资产向</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lang w:eastAsia="zh-CN"/>
        </w:rPr>
        <w:t>或原债权</w:t>
      </w:r>
      <w:r>
        <w:rPr>
          <w:rFonts w:hint="eastAsia" w:ascii="仿宋_GB2312" w:hAnsi="仿宋_GB2312" w:eastAsia="仿宋_GB2312" w:cs="仿宋_GB2312"/>
          <w:sz w:val="32"/>
          <w:szCs w:val="32"/>
          <w:highlight w:val="none"/>
        </w:rPr>
        <w:t>银行及其分支机构主张任何权利。</w:t>
      </w:r>
    </w:p>
    <w:p>
      <w:pPr>
        <w:pageBreakBefore w:val="0"/>
        <w:kinsoku/>
        <w:overflowPunct/>
        <w:topLinePunct w:val="0"/>
        <w:autoSpaceDE/>
        <w:autoSpaceDN/>
        <w:bidi w:val="0"/>
        <w:adjustRightInd/>
        <w:snapToGrid/>
        <w:spacing w:line="600" w:lineRule="exact"/>
        <w:ind w:left="0" w:leftChars="0" w:right="0" w:rightChars="0"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6.由于部分债务人、担保人的地址不详或已变更，可能存在无法送达的情况。由买受人自行承担债权转让事实及债权催收无法通知债务人、担保人及其他义务人的法律后果。</w:t>
      </w:r>
    </w:p>
    <w:p>
      <w:pPr>
        <w:pageBreakBefore w:val="0"/>
        <w:numPr>
          <w:ilvl w:val="0"/>
          <w:numId w:val="0"/>
        </w:numPr>
        <w:kinsoku/>
        <w:overflowPunct/>
        <w:topLinePunct w:val="0"/>
        <w:autoSpaceDE/>
        <w:autoSpaceDN/>
        <w:bidi w:val="0"/>
        <w:adjustRightInd/>
        <w:snapToGrid/>
        <w:spacing w:beforeLines="0" w:afterLines="0" w:line="600" w:lineRule="exact"/>
        <w:ind w:left="0" w:leftChars="0" w:right="0" w:rightChars="0"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7.竞买人</w:t>
      </w:r>
      <w:r>
        <w:rPr>
          <w:rFonts w:hint="eastAsia" w:ascii="仿宋_GB2312" w:hAnsi="仿宋_GB2312" w:eastAsia="仿宋_GB2312" w:cs="仿宋_GB2312"/>
          <w:sz w:val="32"/>
          <w:szCs w:val="32"/>
          <w:highlight w:val="none"/>
        </w:rPr>
        <w:t>是审慎的购买者，</w:t>
      </w:r>
      <w:r>
        <w:rPr>
          <w:rFonts w:hint="eastAsia" w:ascii="仿宋_GB2312" w:hAnsi="仿宋_GB2312" w:eastAsia="仿宋_GB2312" w:cs="仿宋_GB2312"/>
          <w:sz w:val="32"/>
          <w:szCs w:val="32"/>
          <w:highlight w:val="none"/>
          <w:lang w:val="en-US" w:eastAsia="zh-CN"/>
        </w:rPr>
        <w:t>在</w:t>
      </w:r>
      <w:r>
        <w:rPr>
          <w:rFonts w:hint="eastAsia" w:ascii="仿宋_GB2312" w:hAnsi="仿宋_GB2312" w:eastAsia="仿宋_GB2312" w:cs="仿宋_GB2312"/>
          <w:sz w:val="32"/>
          <w:szCs w:val="32"/>
          <w:highlight w:val="none"/>
        </w:rPr>
        <w:t>签署《资产状况及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》前，</w:t>
      </w:r>
      <w:r>
        <w:rPr>
          <w:rFonts w:hint="eastAsia" w:ascii="仿宋_GB2312" w:hAnsi="仿宋_GB2312" w:eastAsia="仿宋_GB2312" w:cs="仿宋_GB2312"/>
          <w:sz w:val="32"/>
          <w:szCs w:val="32"/>
          <w:highlight w:val="none"/>
          <w:lang w:val="en-US" w:eastAsia="zh-CN"/>
        </w:rPr>
        <w:t>已</w:t>
      </w:r>
      <w:r>
        <w:rPr>
          <w:rFonts w:hint="eastAsia" w:ascii="仿宋_GB2312" w:hAnsi="仿宋_GB2312" w:eastAsia="仿宋_GB2312" w:cs="仿宋_GB2312"/>
          <w:sz w:val="32"/>
          <w:szCs w:val="32"/>
          <w:highlight w:val="none"/>
        </w:rPr>
        <w:t>对标的资产的现状进行了审慎的调查，已对受让标的资产的</w:t>
      </w:r>
      <w:r>
        <w:rPr>
          <w:rFonts w:hint="eastAsia" w:ascii="仿宋_GB2312" w:hAnsi="仿宋_GB2312" w:eastAsia="仿宋_GB2312" w:cs="仿宋_GB2312"/>
          <w:sz w:val="32"/>
          <w:szCs w:val="32"/>
          <w:highlight w:val="none"/>
          <w:lang w:val="en-US" w:eastAsia="zh-CN"/>
        </w:rPr>
        <w:t>范围、</w:t>
      </w:r>
      <w:r>
        <w:rPr>
          <w:rFonts w:hint="eastAsia" w:ascii="仿宋_GB2312" w:hAnsi="仿宋_GB2312" w:eastAsia="仿宋_GB2312" w:cs="仿宋_GB2312"/>
          <w:sz w:val="32"/>
          <w:szCs w:val="32"/>
          <w:highlight w:val="none"/>
        </w:rPr>
        <w:t>性质、金额、真实性、合法性、有效性、存在的诉讼纠纷、实现权益的法律障碍等一切相关事项进行了充分的调查、了解。</w:t>
      </w:r>
    </w:p>
    <w:p>
      <w:pPr>
        <w:numPr>
          <w:ilvl w:val="0"/>
          <w:numId w:val="0"/>
        </w:numPr>
        <w:spacing w:beforeLines="0" w:afterLines="0"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8.竞买人</w:t>
      </w:r>
      <w:r>
        <w:rPr>
          <w:rFonts w:hint="eastAsia" w:ascii="仿宋_GB2312" w:hAnsi="仿宋_GB2312" w:eastAsia="仿宋_GB2312" w:cs="仿宋_GB2312"/>
          <w:sz w:val="32"/>
          <w:szCs w:val="32"/>
          <w:highlight w:val="none"/>
        </w:rPr>
        <w:t>在此确认，</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未就本《资产状况及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》转让标的资产的性质、状况或可回收性作出任何明示或暗示的声明或保证，</w:t>
      </w:r>
      <w:r>
        <w:rPr>
          <w:rFonts w:hint="eastAsia" w:ascii="仿宋_GB2312" w:hAnsi="仿宋_GB2312" w:eastAsia="仿宋_GB2312" w:cs="仿宋_GB2312"/>
          <w:color w:val="auto"/>
          <w:sz w:val="32"/>
          <w:szCs w:val="32"/>
          <w:lang w:eastAsia="zh-CN"/>
        </w:rPr>
        <w:t>中信金资</w:t>
      </w:r>
      <w:r>
        <w:rPr>
          <w:rFonts w:hint="eastAsia" w:ascii="仿宋_GB2312" w:hAnsi="仿宋_GB2312" w:eastAsia="仿宋_GB2312" w:cs="仿宋_GB2312"/>
          <w:sz w:val="32"/>
          <w:szCs w:val="32"/>
          <w:highlight w:val="none"/>
        </w:rPr>
        <w:t>亦未对</w:t>
      </w:r>
      <w:r>
        <w:rPr>
          <w:rFonts w:hint="eastAsia" w:ascii="仿宋_GB2312" w:hAnsi="仿宋_GB2312" w:eastAsia="仿宋_GB2312" w:cs="仿宋_GB2312"/>
          <w:sz w:val="32"/>
          <w:szCs w:val="32"/>
          <w:highlight w:val="none"/>
          <w:lang w:val="en-US" w:eastAsia="zh-CN"/>
        </w:rPr>
        <w:t>竞买人</w:t>
      </w:r>
      <w:r>
        <w:rPr>
          <w:rFonts w:hint="eastAsia" w:ascii="仿宋_GB2312" w:hAnsi="仿宋_GB2312" w:eastAsia="仿宋_GB2312" w:cs="仿宋_GB2312"/>
          <w:sz w:val="32"/>
          <w:szCs w:val="32"/>
          <w:highlight w:val="none"/>
        </w:rPr>
        <w:t>的预期收益做出任何明示或暗示的声明和保证。</w:t>
      </w:r>
      <w:r>
        <w:rPr>
          <w:rFonts w:hint="eastAsia" w:ascii="仿宋_GB2312" w:hAnsi="仿宋_GB2312" w:eastAsia="仿宋_GB2312" w:cs="仿宋_GB2312"/>
          <w:sz w:val="32"/>
          <w:szCs w:val="32"/>
          <w:highlight w:val="none"/>
          <w:lang w:val="en-US" w:eastAsia="zh-CN"/>
        </w:rPr>
        <w:t>竞买人</w:t>
      </w:r>
      <w:r>
        <w:rPr>
          <w:rFonts w:hint="eastAsia" w:ascii="仿宋_GB2312" w:hAnsi="仿宋_GB2312" w:eastAsia="仿宋_GB2312" w:cs="仿宋_GB2312"/>
          <w:sz w:val="32"/>
          <w:szCs w:val="32"/>
          <w:highlight w:val="none"/>
        </w:rPr>
        <w:t>已被告知并完全理解资产及本次交易的风险，自愿承担因资产和本次交易的风险可能给其造成的一切损失以及不能获得预期利益的后果。</w:t>
      </w:r>
      <w:r>
        <w:rPr>
          <w:rFonts w:hint="eastAsia" w:ascii="仿宋_GB2312" w:hAnsi="仿宋_GB2312" w:eastAsia="仿宋_GB2312" w:cs="仿宋_GB2312"/>
          <w:sz w:val="32"/>
          <w:szCs w:val="32"/>
          <w:highlight w:val="none"/>
          <w:lang w:val="en-US" w:eastAsia="zh-CN"/>
        </w:rPr>
        <w:t>竞买人</w:t>
      </w:r>
      <w:r>
        <w:rPr>
          <w:rFonts w:hint="eastAsia" w:ascii="仿宋_GB2312" w:hAnsi="仿宋_GB2312" w:eastAsia="仿宋_GB2312" w:cs="仿宋_GB2312"/>
          <w:sz w:val="32"/>
          <w:szCs w:val="32"/>
          <w:highlight w:val="none"/>
        </w:rPr>
        <w:t>基于独立慎重做出签署本《资产状况及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》的决定，同意按照现状收购本《资产状况及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》项下标的资产。</w:t>
      </w:r>
    </w:p>
    <w:p>
      <w:pPr>
        <w:numPr>
          <w:ilvl w:val="0"/>
          <w:numId w:val="0"/>
        </w:numPr>
        <w:spacing w:beforeLines="0" w:afterLines="0" w:line="600" w:lineRule="exact"/>
        <w:ind w:firstLine="640" w:firstLineChars="200"/>
        <w:rPr>
          <w:rFonts w:hint="eastAsia"/>
          <w:lang w:val="en-US" w:eastAsia="zh-CN"/>
        </w:rPr>
      </w:pP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《资产状况及</w:t>
      </w:r>
      <w:r>
        <w:rPr>
          <w:rFonts w:hint="eastAsia" w:ascii="仿宋_GB2312" w:hAnsi="仿宋_GB2312" w:eastAsia="仿宋_GB2312" w:cs="仿宋_GB2312"/>
          <w:sz w:val="32"/>
          <w:szCs w:val="32"/>
          <w:highlight w:val="none"/>
          <w:lang w:val="en-US"/>
        </w:rPr>
        <w:t>瑕疵声明</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最终内容以双方签订的文本为准。</w:t>
      </w:r>
    </w:p>
    <w:p>
      <w:pPr>
        <w:spacing w:line="600" w:lineRule="exact"/>
        <w:ind w:firstLine="640" w:firstLineChars="200"/>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四、其他</w:t>
      </w:r>
    </w:p>
    <w:p>
      <w:pPr>
        <w:spacing w:line="60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竞买人在本《资产状况及瑕疵声明》上签字、盖章后，即表示对上述条款无条件接受。</w:t>
      </w:r>
    </w:p>
    <w:p>
      <w:pPr>
        <w:spacing w:line="600" w:lineRule="exact"/>
        <w:ind w:firstLine="0" w:firstLineChars="0"/>
        <w:rPr>
          <w:rFonts w:hint="eastAsia" w:ascii="仿宋_GB2312" w:hAnsi="仿宋_GB2312" w:eastAsia="仿宋_GB2312" w:cs="仿宋_GB2312"/>
          <w:kern w:val="2"/>
          <w:sz w:val="32"/>
          <w:szCs w:val="32"/>
          <w:highlight w:val="none"/>
          <w:lang w:eastAsia="zh-CN"/>
        </w:rPr>
      </w:pPr>
    </w:p>
    <w:p>
      <w:pPr>
        <w:spacing w:line="60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2"/>
          <w:sz w:val="32"/>
          <w:szCs w:val="32"/>
          <w:highlight w:val="none"/>
          <w:lang w:eastAsia="zh-CN"/>
        </w:rPr>
        <w:t>竞买</w:t>
      </w:r>
      <w:r>
        <w:rPr>
          <w:rFonts w:hint="eastAsia" w:ascii="仿宋_GB2312" w:hAnsi="仿宋_GB2312" w:eastAsia="仿宋_GB2312" w:cs="仿宋_GB2312"/>
          <w:kern w:val="2"/>
          <w:sz w:val="32"/>
          <w:szCs w:val="32"/>
          <w:highlight w:val="none"/>
        </w:rPr>
        <w:t>人</w:t>
      </w:r>
      <w:r>
        <w:rPr>
          <w:rFonts w:hint="eastAsia" w:ascii="仿宋_GB2312" w:hAnsi="仿宋_GB2312" w:eastAsia="仿宋_GB2312" w:cs="仿宋_GB2312"/>
          <w:kern w:val="0"/>
          <w:sz w:val="32"/>
          <w:szCs w:val="32"/>
          <w:highlight w:val="none"/>
        </w:rPr>
        <w:t>（签字</w:t>
      </w:r>
      <w:r>
        <w:rPr>
          <w:rFonts w:hint="eastAsia" w:ascii="仿宋_GB2312" w:hAnsi="仿宋_GB2312" w:eastAsia="仿宋_GB2312" w:cs="仿宋_GB2312"/>
          <w:kern w:val="0"/>
          <w:sz w:val="32"/>
          <w:szCs w:val="32"/>
          <w:highlight w:val="none"/>
          <w:lang w:eastAsia="zh-CN"/>
        </w:rPr>
        <w:t>、盖章</w:t>
      </w:r>
      <w:r>
        <w:rPr>
          <w:rFonts w:hint="eastAsia" w:ascii="仿宋_GB2312" w:hAnsi="仿宋_GB2312" w:eastAsia="仿宋_GB2312" w:cs="仿宋_GB2312"/>
          <w:kern w:val="0"/>
          <w:sz w:val="32"/>
          <w:szCs w:val="32"/>
          <w:highlight w:val="none"/>
        </w:rPr>
        <w:t>）：</w:t>
      </w:r>
    </w:p>
    <w:p>
      <w:pPr>
        <w:spacing w:line="600" w:lineRule="exact"/>
        <w:ind w:firstLine="600"/>
        <w:rPr>
          <w:rFonts w:hint="eastAsia" w:ascii="仿宋_GB2312" w:hAnsi="仿宋_GB2312" w:eastAsia="仿宋_GB2312" w:cs="仿宋_GB2312"/>
          <w:kern w:val="0"/>
          <w:sz w:val="32"/>
          <w:szCs w:val="32"/>
        </w:rPr>
      </w:pPr>
    </w:p>
    <w:p>
      <w:pPr>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项目经理（签字）：        部门负责人（签字）：</w:t>
      </w:r>
    </w:p>
    <w:p>
      <w:pPr>
        <w:wordWrap/>
        <w:spacing w:line="600" w:lineRule="exact"/>
        <w:ind w:firstLine="640" w:firstLineChars="200"/>
        <w:jc w:val="right"/>
        <w:rPr>
          <w:rFonts w:hint="eastAsia" w:ascii="仿宋_GB2312" w:hAnsi="仿宋_GB2312" w:eastAsia="仿宋_GB2312" w:cs="仿宋_GB2312"/>
          <w:sz w:val="32"/>
          <w:szCs w:val="32"/>
          <w:lang w:val="en-US" w:eastAsia="zh-CN"/>
        </w:rPr>
      </w:pPr>
    </w:p>
    <w:p>
      <w:pPr>
        <w:wordWrap/>
        <w:spacing w:line="600" w:lineRule="exact"/>
        <w:ind w:firstLine="640" w:firstLineChars="200"/>
        <w:jc w:val="right"/>
        <w:rPr>
          <w:rFonts w:hint="eastAsia" w:ascii="仿宋_GB2312" w:hAnsi="仿宋_GB2312" w:eastAsia="仿宋_GB2312" w:cs="仿宋_GB2312"/>
          <w:sz w:val="32"/>
          <w:szCs w:val="32"/>
          <w:lang w:val="en-US" w:eastAsia="zh-CN"/>
        </w:rPr>
      </w:pPr>
    </w:p>
    <w:p>
      <w:pPr>
        <w:wordWrap/>
        <w:spacing w:line="600" w:lineRule="exact"/>
        <w:ind w:firstLine="640" w:firstLineChars="200"/>
        <w:jc w:val="right"/>
        <w:rPr>
          <w:rFonts w:hint="eastAsia" w:ascii="宋体" w:hAnsi="宋体" w:eastAsia="宋体" w:cs="宋体"/>
          <w:sz w:val="24"/>
          <w:lang w:eastAsia="zh-CN"/>
        </w:rPr>
      </w:pPr>
      <w:r>
        <w:rPr>
          <w:rFonts w:hint="eastAsia" w:ascii="仿宋_GB2312" w:hAnsi="仿宋_GB2312" w:eastAsia="仿宋_GB2312" w:cs="仿宋_GB2312"/>
          <w:sz w:val="32"/>
          <w:szCs w:val="32"/>
          <w:lang w:val="en-US" w:eastAsia="zh-CN"/>
        </w:rPr>
        <w:t>2025年6月23</w:t>
      </w:r>
      <w:bookmarkStart w:id="0" w:name="_GoBack"/>
      <w:bookmarkEnd w:id="0"/>
      <w:r>
        <w:rPr>
          <w:rFonts w:hint="eastAsia" w:ascii="仿宋_GB2312" w:hAnsi="仿宋_GB2312" w:eastAsia="仿宋_GB2312" w:cs="仿宋_GB2312"/>
          <w:sz w:val="32"/>
          <w:szCs w:val="32"/>
          <w:lang w:val="en-US" w:eastAsia="zh-CN"/>
        </w:rPr>
        <w:t>日</w:t>
      </w:r>
    </w:p>
    <w:p>
      <w:pPr>
        <w:spacing w:line="600" w:lineRule="exact"/>
        <w:rPr>
          <w:rFonts w:ascii="宋体" w:hAnsi="宋体"/>
          <w:color w:val="000000"/>
          <w:sz w:val="24"/>
          <w:szCs w:val="24"/>
        </w:rPr>
      </w:pPr>
    </w:p>
    <w:p>
      <w:pPr>
        <w:pageBreakBefore w:val="0"/>
        <w:kinsoku/>
        <w:overflowPunct/>
        <w:topLinePunct w:val="0"/>
        <w:autoSpaceDE/>
        <w:autoSpaceDN/>
        <w:bidi w:val="0"/>
        <w:adjustRightInd/>
        <w:snapToGrid/>
        <w:spacing w:line="600" w:lineRule="exact"/>
        <w:ind w:left="0" w:leftChars="0" w:right="0" w:rightChars="0"/>
      </w:pPr>
    </w:p>
    <w:sectPr>
      <w:footerReference r:id="rId3" w:type="default"/>
      <w:pgSz w:w="11906" w:h="16838"/>
      <w:pgMar w:top="1440" w:right="1800"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35</w:t>
    </w:r>
    <w:r>
      <w:rPr>
        <w:b/>
        <w:bCs/>
        <w:sz w:val="24"/>
        <w:szCs w:val="24"/>
      </w:rP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3"/>
      <w:suff w:val="nothing"/>
      <w:lvlText w:val="第 %1 条"/>
      <w:lvlJc w:val="left"/>
      <w:pPr>
        <w:tabs>
          <w:tab w:val="left" w:pos="0"/>
        </w:tabs>
        <w:ind w:left="0" w:firstLine="0"/>
      </w:pPr>
      <w:rPr>
        <w:b/>
        <w:i w:val="0"/>
        <w:caps w:val="0"/>
        <w:smallCaps w:val="0"/>
        <w:strike w:val="0"/>
        <w:dstrike w:val="0"/>
        <w:color w:val="000000"/>
        <w:spacing w:val="20"/>
        <w:w w:val="100"/>
        <w:kern w:val="0"/>
        <w:position w:val="0"/>
        <w:sz w:val="28"/>
        <w:u w:val="none"/>
      </w:rPr>
    </w:lvl>
    <w:lvl w:ilvl="1" w:tentative="0">
      <w:start w:val="1"/>
      <w:numFmt w:val="decimal"/>
      <w:isLgl/>
      <w:lvlText w:val="%1.%2"/>
      <w:lvlJc w:val="left"/>
      <w:pPr>
        <w:tabs>
          <w:tab w:val="left" w:pos="1260"/>
        </w:tabs>
        <w:ind w:left="1260" w:firstLine="0"/>
      </w:pPr>
      <w:rPr>
        <w:b/>
        <w:i w:val="0"/>
        <w:caps w:val="0"/>
        <w:smallCaps w:val="0"/>
        <w:strike w:val="0"/>
        <w:dstrike w:val="0"/>
        <w:color w:val="000000"/>
        <w:spacing w:val="0"/>
        <w:w w:val="100"/>
        <w:kern w:val="0"/>
        <w:position w:val="0"/>
        <w:sz w:val="22"/>
        <w:u w:val="none"/>
      </w:rPr>
    </w:lvl>
    <w:lvl w:ilvl="2" w:tentative="0">
      <w:start w:val="1"/>
      <w:numFmt w:val="decimal"/>
      <w:lvlText w:val="%3."/>
      <w:lvlJc w:val="left"/>
      <w:pPr>
        <w:tabs>
          <w:tab w:val="left" w:pos="1800"/>
        </w:tabs>
        <w:ind w:left="1440" w:firstLine="0"/>
      </w:pPr>
    </w:lvl>
    <w:lvl w:ilvl="3" w:tentative="0">
      <w:start w:val="1"/>
      <w:numFmt w:val="lowerLetter"/>
      <w:lvlText w:val="%4)"/>
      <w:lvlJc w:val="left"/>
      <w:pPr>
        <w:tabs>
          <w:tab w:val="left" w:pos="2520"/>
        </w:tabs>
        <w:ind w:left="2160" w:firstLine="0"/>
      </w:pPr>
    </w:lvl>
    <w:lvl w:ilvl="4" w:tentative="0">
      <w:start w:val="1"/>
      <w:numFmt w:val="decimal"/>
      <w:lvlText w:val="(%5)"/>
      <w:lvlJc w:val="left"/>
      <w:pPr>
        <w:tabs>
          <w:tab w:val="left" w:pos="3240"/>
        </w:tabs>
        <w:ind w:left="2880" w:firstLine="0"/>
      </w:pPr>
    </w:lvl>
    <w:lvl w:ilvl="5" w:tentative="0">
      <w:start w:val="1"/>
      <w:numFmt w:val="lowerLetter"/>
      <w:lvlText w:val="(%6)"/>
      <w:lvlJc w:val="left"/>
      <w:pPr>
        <w:tabs>
          <w:tab w:val="left" w:pos="3960"/>
        </w:tabs>
        <w:ind w:left="3600" w:firstLine="0"/>
      </w:pPr>
    </w:lvl>
    <w:lvl w:ilvl="6" w:tentative="0">
      <w:start w:val="1"/>
      <w:numFmt w:val="lowerRoman"/>
      <w:lvlText w:val="(%7)"/>
      <w:lvlJc w:val="left"/>
      <w:pPr>
        <w:tabs>
          <w:tab w:val="left" w:pos="4680"/>
        </w:tabs>
        <w:ind w:left="4320" w:firstLine="0"/>
      </w:pPr>
    </w:lvl>
    <w:lvl w:ilvl="7" w:tentative="0">
      <w:start w:val="1"/>
      <w:numFmt w:val="lowerLetter"/>
      <w:lvlText w:val="(%8)"/>
      <w:lvlJc w:val="left"/>
      <w:pPr>
        <w:tabs>
          <w:tab w:val="left" w:pos="5400"/>
        </w:tabs>
        <w:ind w:left="5040" w:firstLine="0"/>
      </w:pPr>
    </w:lvl>
    <w:lvl w:ilvl="8" w:tentative="0">
      <w:start w:val="1"/>
      <w:numFmt w:val="lowerRoman"/>
      <w:lvlText w:val="(%9)"/>
      <w:lvlJc w:val="left"/>
      <w:pPr>
        <w:tabs>
          <w:tab w:val="left" w:pos="6120"/>
        </w:tabs>
        <w:ind w:left="576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C8229B"/>
    <w:rsid w:val="001B22EA"/>
    <w:rsid w:val="024071CC"/>
    <w:rsid w:val="0699505B"/>
    <w:rsid w:val="0BD6238A"/>
    <w:rsid w:val="107B3C7E"/>
    <w:rsid w:val="126D1DAC"/>
    <w:rsid w:val="171A79F6"/>
    <w:rsid w:val="1B080A89"/>
    <w:rsid w:val="1BD2339A"/>
    <w:rsid w:val="20C71997"/>
    <w:rsid w:val="215C2269"/>
    <w:rsid w:val="29E24D6D"/>
    <w:rsid w:val="2A5B4630"/>
    <w:rsid w:val="2BB64E94"/>
    <w:rsid w:val="2CF82226"/>
    <w:rsid w:val="2DEB7884"/>
    <w:rsid w:val="34C8229B"/>
    <w:rsid w:val="37036D71"/>
    <w:rsid w:val="374F1B6B"/>
    <w:rsid w:val="37FB062E"/>
    <w:rsid w:val="391C7C0A"/>
    <w:rsid w:val="3D0A3C8B"/>
    <w:rsid w:val="3DF76E69"/>
    <w:rsid w:val="3EAF5B6D"/>
    <w:rsid w:val="3F7A109D"/>
    <w:rsid w:val="44C70CCB"/>
    <w:rsid w:val="467D6259"/>
    <w:rsid w:val="47ED0752"/>
    <w:rsid w:val="4BB1032D"/>
    <w:rsid w:val="508436A7"/>
    <w:rsid w:val="5D221687"/>
    <w:rsid w:val="5E146F7A"/>
    <w:rsid w:val="5E5619D5"/>
    <w:rsid w:val="608E6B96"/>
    <w:rsid w:val="6399614E"/>
    <w:rsid w:val="67E87D55"/>
    <w:rsid w:val="68130294"/>
    <w:rsid w:val="6A1E7827"/>
    <w:rsid w:val="6D1B2A27"/>
    <w:rsid w:val="708251A4"/>
    <w:rsid w:val="70BB4A88"/>
    <w:rsid w:val="754368A1"/>
    <w:rsid w:val="77991EB3"/>
    <w:rsid w:val="7B3E440F"/>
    <w:rsid w:val="7EB03EA4"/>
    <w:rsid w:val="7F0549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widowControl/>
      <w:numPr>
        <w:ilvl w:val="0"/>
        <w:numId w:val="1"/>
      </w:numPr>
      <w:spacing w:before="120" w:after="120" w:line="360" w:lineRule="auto"/>
      <w:jc w:val="center"/>
      <w:outlineLvl w:val="0"/>
    </w:pPr>
    <w:rPr>
      <w:b/>
      <w:caps/>
      <w:color w:val="0000FF"/>
      <w:kern w:val="36"/>
      <w:sz w:val="22"/>
      <w:szCs w:val="22"/>
      <w:lang w:eastAsia="ko-K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4">
    <w:name w:val="Body Text"/>
    <w:basedOn w:val="1"/>
    <w:next w:val="1"/>
    <w:qFormat/>
    <w:uiPriority w:val="0"/>
    <w:pPr>
      <w:spacing w:line="0" w:lineRule="atLeast"/>
    </w:pPr>
    <w:rPr>
      <w:rFonts w:ascii="仿宋_GB2312" w:eastAsia="仿宋_GB2312"/>
      <w:bCs/>
      <w:sz w:val="2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Default"/>
    <w:qFormat/>
    <w:uiPriority w:val="0"/>
    <w:pPr>
      <w:widowControl w:val="0"/>
      <w:autoSpaceDE w:val="0"/>
      <w:autoSpaceDN w:val="0"/>
      <w:adjustRightInd w:val="0"/>
    </w:pPr>
    <w:rPr>
      <w:rFonts w:ascii="仿宋_GB2312" w:hAnsi="Times New Roman" w:eastAsia="仿宋_GB2312" w:cs="Times New Roman"/>
      <w:color w:val="00000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2021-04-15T02:27:00Z</dcterms:created>
  <dc:creator>张曼</dc:creator>
  <cp:lastModifiedBy>hsh</cp:lastModifiedBy>
  <dcterms:modified xsi:type="dcterms:W3CDTF">2025-06-20T13:56:13Z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0DEA084C708A43089B17CC97029F754F</vt:lpwstr>
  </property>
</Properties>
</file>