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560" w:lineRule="exact"/>
        <w:rPr>
          <w:rFonts w:hint="eastAsia" w:hAnsi="宋体"/>
          <w:sz w:val="24"/>
          <w:highlight w:val="none"/>
          <w:lang w:val="en-US" w:eastAsia="zh-CN"/>
        </w:rPr>
      </w:pPr>
      <w:bookmarkStart w:id="0" w:name="_GoBack"/>
      <w:bookmarkEnd w:id="0"/>
      <w:r>
        <w:rPr>
          <w:rFonts w:hint="eastAsia" w:hAnsi="宋体"/>
          <w:sz w:val="24"/>
          <w:highlight w:val="none"/>
          <w:lang w:eastAsia="zh-CN"/>
        </w:rPr>
        <w:t>附件：</w:t>
      </w:r>
      <w:r>
        <w:rPr>
          <w:rFonts w:hint="default" w:hAnsi="宋体"/>
          <w:sz w:val="24"/>
          <w:highlight w:val="none"/>
        </w:rPr>
        <w:t>债权转让清单</w:t>
      </w:r>
      <w:r>
        <w:rPr>
          <w:rFonts w:hint="eastAsia" w:hAnsi="宋体"/>
          <w:sz w:val="24"/>
          <w:highlight w:val="none"/>
          <w:lang w:val="en-US" w:eastAsia="zh-CN"/>
        </w:rPr>
        <w:t xml:space="preserve">                             </w:t>
      </w:r>
    </w:p>
    <w:p>
      <w:pPr>
        <w:pStyle w:val="4"/>
        <w:spacing w:line="560" w:lineRule="exact"/>
        <w:jc w:val="right"/>
        <w:rPr>
          <w:rFonts w:hint="default" w:hAnsi="宋体"/>
          <w:sz w:val="24"/>
          <w:highlight w:val="none"/>
          <w:lang w:val="en-US" w:eastAsia="zh-CN"/>
        </w:rPr>
      </w:pPr>
      <w:r>
        <w:rPr>
          <w:rFonts w:hint="eastAsia" w:hAnsi="宋体"/>
          <w:sz w:val="24"/>
          <w:highlight w:val="none"/>
          <w:lang w:val="en-US" w:eastAsia="zh-CN"/>
        </w:rPr>
        <w:t>债权基准日：2025年2月21日   单位：元</w:t>
      </w:r>
    </w:p>
    <w:tbl>
      <w:tblPr>
        <w:tblStyle w:val="8"/>
        <w:tblW w:w="9492" w:type="dxa"/>
        <w:jc w:val="center"/>
        <w:tblLayout w:type="fixed"/>
        <w:tblCellMar>
          <w:top w:w="0" w:type="dxa"/>
          <w:left w:w="108" w:type="dxa"/>
          <w:bottom w:w="0" w:type="dxa"/>
          <w:right w:w="108" w:type="dxa"/>
        </w:tblCellMar>
      </w:tblPr>
      <w:tblGrid>
        <w:gridCol w:w="498"/>
        <w:gridCol w:w="1035"/>
        <w:gridCol w:w="1577"/>
        <w:gridCol w:w="1488"/>
        <w:gridCol w:w="1487"/>
        <w:gridCol w:w="3407"/>
      </w:tblGrid>
      <w:tr>
        <w:tblPrEx>
          <w:tblCellMar>
            <w:top w:w="0" w:type="dxa"/>
            <w:left w:w="108" w:type="dxa"/>
            <w:bottom w:w="0" w:type="dxa"/>
            <w:right w:w="108" w:type="dxa"/>
          </w:tblCellMar>
        </w:tblPrEx>
        <w:trPr>
          <w:trHeight w:val="776" w:hRule="atLeast"/>
          <w:jc w:val="center"/>
        </w:trPr>
        <w:tc>
          <w:tcPr>
            <w:tcW w:w="49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widowControl/>
              <w:spacing w:after="0" w:line="240" w:lineRule="auto"/>
              <w:jc w:val="center"/>
              <w:rPr>
                <w:rFonts w:hint="eastAsia" w:ascii="宋体" w:hAnsi="宋体" w:eastAsia="宋体" w:cs="宋体"/>
                <w:b/>
                <w:bCs/>
                <w:color w:val="000000"/>
                <w:kern w:val="0"/>
                <w:sz w:val="18"/>
                <w:szCs w:val="18"/>
                <w:lang w:eastAsia="zh-CN"/>
              </w:rPr>
            </w:pPr>
            <w:r>
              <w:rPr>
                <w:rFonts w:hint="eastAsia" w:ascii="宋体" w:hAnsi="宋体" w:eastAsia="宋体" w:cs="宋体"/>
                <w:b/>
                <w:bCs/>
                <w:color w:val="000000"/>
                <w:kern w:val="0"/>
                <w:sz w:val="18"/>
                <w:szCs w:val="18"/>
                <w:lang w:val="en-US" w:eastAsia="zh-CN"/>
              </w:rPr>
              <w:t>序号</w:t>
            </w:r>
          </w:p>
        </w:tc>
        <w:tc>
          <w:tcPr>
            <w:tcW w:w="1035"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widowControl/>
              <w:spacing w:after="0"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借款人名称</w:t>
            </w:r>
          </w:p>
        </w:tc>
        <w:tc>
          <w:tcPr>
            <w:tcW w:w="1577"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widowControl/>
              <w:spacing w:after="0" w:line="240" w:lineRule="auto"/>
              <w:jc w:val="center"/>
              <w:rPr>
                <w:rFonts w:hint="eastAsia" w:ascii="宋体" w:hAnsi="宋体" w:cs="宋体"/>
                <w:b/>
                <w:bCs/>
                <w:color w:val="000000"/>
                <w:kern w:val="0"/>
                <w:sz w:val="18"/>
                <w:szCs w:val="18"/>
              </w:rPr>
            </w:pPr>
            <w:r>
              <w:rPr>
                <w:rFonts w:hint="eastAsia" w:ascii="宋体" w:hAnsi="宋体" w:cs="宋体"/>
                <w:b/>
                <w:bCs/>
                <w:color w:val="000000"/>
                <w:kern w:val="0"/>
                <w:sz w:val="18"/>
                <w:szCs w:val="18"/>
              </w:rPr>
              <w:t>基准日债权</w:t>
            </w:r>
          </w:p>
          <w:p>
            <w:pPr>
              <w:widowControl/>
              <w:spacing w:after="0"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本金</w:t>
            </w:r>
          </w:p>
        </w:tc>
        <w:tc>
          <w:tcPr>
            <w:tcW w:w="1488"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widowControl/>
              <w:spacing w:after="0" w:line="240" w:lineRule="auto"/>
              <w:jc w:val="center"/>
              <w:rPr>
                <w:rFonts w:hint="eastAsia" w:ascii="宋体" w:hAnsi="宋体" w:cs="宋体"/>
                <w:b/>
                <w:bCs/>
                <w:color w:val="000000"/>
                <w:kern w:val="0"/>
                <w:sz w:val="18"/>
                <w:szCs w:val="18"/>
              </w:rPr>
            </w:pPr>
            <w:r>
              <w:rPr>
                <w:rFonts w:hint="eastAsia" w:ascii="宋体" w:hAnsi="宋体" w:cs="宋体"/>
                <w:b/>
                <w:bCs/>
                <w:color w:val="000000"/>
                <w:kern w:val="0"/>
                <w:sz w:val="18"/>
                <w:szCs w:val="18"/>
              </w:rPr>
              <w:t>基准日债权</w:t>
            </w:r>
          </w:p>
          <w:p>
            <w:pPr>
              <w:widowControl/>
              <w:spacing w:after="0" w:line="240" w:lineRule="auto"/>
              <w:jc w:val="center"/>
              <w:rPr>
                <w:rFonts w:hint="eastAsia" w:ascii="宋体" w:hAnsi="宋体" w:eastAsia="宋体" w:cs="宋体"/>
                <w:b/>
                <w:bCs/>
                <w:color w:val="000000"/>
                <w:kern w:val="0"/>
                <w:sz w:val="18"/>
                <w:szCs w:val="18"/>
                <w:lang w:eastAsia="zh-CN"/>
              </w:rPr>
            </w:pPr>
            <w:r>
              <w:rPr>
                <w:rFonts w:hint="eastAsia" w:ascii="宋体" w:hAnsi="宋体" w:cs="宋体"/>
                <w:b/>
                <w:bCs/>
                <w:color w:val="000000"/>
                <w:kern w:val="0"/>
                <w:sz w:val="18"/>
                <w:szCs w:val="18"/>
              </w:rPr>
              <w:t>利息</w:t>
            </w:r>
          </w:p>
        </w:tc>
        <w:tc>
          <w:tcPr>
            <w:tcW w:w="1487" w:type="dxa"/>
            <w:tcBorders>
              <w:top w:val="single" w:color="auto" w:sz="4" w:space="0"/>
              <w:left w:val="nil"/>
              <w:bottom w:val="single" w:color="auto" w:sz="4" w:space="0"/>
              <w:right w:val="single" w:color="auto" w:sz="4" w:space="0"/>
            </w:tcBorders>
            <w:shd w:val="clear" w:color="000000" w:fill="auto"/>
            <w:noWrap w:val="0"/>
            <w:vAlign w:val="center"/>
          </w:tcPr>
          <w:p>
            <w:pPr>
              <w:widowControl/>
              <w:spacing w:after="0" w:line="240" w:lineRule="auto"/>
              <w:jc w:val="center"/>
              <w:rPr>
                <w:rFonts w:hint="eastAsia" w:ascii="宋体" w:hAnsi="宋体" w:cs="宋体"/>
                <w:b/>
                <w:bCs/>
                <w:color w:val="000000"/>
                <w:kern w:val="0"/>
                <w:sz w:val="18"/>
                <w:szCs w:val="18"/>
              </w:rPr>
            </w:pPr>
            <w:r>
              <w:rPr>
                <w:rFonts w:hint="eastAsia" w:ascii="宋体" w:hAnsi="宋体" w:cs="宋体"/>
                <w:b/>
                <w:bCs/>
                <w:color w:val="000000"/>
                <w:kern w:val="0"/>
                <w:sz w:val="18"/>
                <w:szCs w:val="18"/>
              </w:rPr>
              <w:t>基准日债权余额</w:t>
            </w:r>
          </w:p>
          <w:p>
            <w:pPr>
              <w:widowControl/>
              <w:spacing w:after="0"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（本息合计）</w:t>
            </w:r>
          </w:p>
        </w:tc>
        <w:tc>
          <w:tcPr>
            <w:tcW w:w="3407" w:type="dxa"/>
            <w:tcBorders>
              <w:top w:val="single" w:color="auto" w:sz="4" w:space="0"/>
              <w:left w:val="nil"/>
              <w:right w:val="single" w:color="auto" w:sz="4" w:space="0"/>
            </w:tcBorders>
            <w:shd w:val="clear" w:color="000000" w:fill="auto"/>
            <w:noWrap w:val="0"/>
            <w:vAlign w:val="center"/>
          </w:tcPr>
          <w:p>
            <w:pPr>
              <w:widowControl/>
              <w:spacing w:after="0" w:line="240" w:lineRule="auto"/>
              <w:jc w:val="center"/>
              <w:rPr>
                <w:rFonts w:hint="eastAsia" w:ascii="宋体" w:hAnsi="宋体" w:cs="宋体"/>
                <w:b/>
                <w:bCs/>
                <w:color w:val="000000"/>
                <w:kern w:val="0"/>
                <w:sz w:val="18"/>
                <w:szCs w:val="18"/>
              </w:rPr>
            </w:pPr>
            <w:r>
              <w:rPr>
                <w:rFonts w:hint="eastAsia" w:ascii="宋体" w:hAnsi="宋体" w:eastAsia="宋体" w:cs="宋体"/>
                <w:b/>
                <w:i w:val="0"/>
                <w:color w:val="000000"/>
                <w:kern w:val="0"/>
                <w:sz w:val="20"/>
                <w:szCs w:val="20"/>
                <w:u w:val="none"/>
                <w:lang w:val="en-US" w:eastAsia="zh-CN" w:bidi="ar"/>
              </w:rPr>
              <w:t>担保情况</w:t>
            </w:r>
          </w:p>
        </w:tc>
      </w:tr>
      <w:tr>
        <w:tblPrEx>
          <w:tblCellMar>
            <w:top w:w="0" w:type="dxa"/>
            <w:left w:w="108" w:type="dxa"/>
            <w:bottom w:w="0" w:type="dxa"/>
            <w:right w:w="108" w:type="dxa"/>
          </w:tblCellMar>
        </w:tblPrEx>
        <w:trPr>
          <w:trHeight w:val="270" w:hRule="atLeast"/>
          <w:jc w:val="center"/>
        </w:trPr>
        <w:tc>
          <w:tcPr>
            <w:tcW w:w="498" w:type="dxa"/>
            <w:tcBorders>
              <w:top w:val="single" w:color="auto" w:sz="4" w:space="0"/>
              <w:left w:val="single" w:color="auto" w:sz="4" w:space="0"/>
              <w:bottom w:val="single" w:color="auto" w:sz="4" w:space="0"/>
              <w:right w:val="single" w:color="auto" w:sz="4" w:space="0"/>
            </w:tcBorders>
            <w:noWrap w:val="0"/>
            <w:vAlign w:val="center"/>
          </w:tcPr>
          <w:p>
            <w:pPr>
              <w:widowControl/>
              <w:spacing w:after="0"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1035" w:type="dxa"/>
            <w:tcBorders>
              <w:top w:val="single" w:color="auto" w:sz="4" w:space="0"/>
              <w:left w:val="single" w:color="auto" w:sz="4" w:space="0"/>
              <w:bottom w:val="single" w:color="auto" w:sz="4" w:space="0"/>
              <w:right w:val="single" w:color="auto" w:sz="4" w:space="0"/>
            </w:tcBorders>
            <w:noWrap/>
            <w:vAlign w:val="center"/>
          </w:tcPr>
          <w:p>
            <w:pPr>
              <w:widowControl/>
              <w:spacing w:after="0" w:line="240" w:lineRule="auto"/>
              <w:jc w:val="center"/>
              <w:rPr>
                <w:rFonts w:ascii="宋体" w:hAnsi="宋体" w:cs="宋体"/>
                <w:kern w:val="0"/>
                <w:sz w:val="18"/>
                <w:szCs w:val="18"/>
              </w:rPr>
            </w:pPr>
            <w:r>
              <w:rPr>
                <w:rFonts w:hint="eastAsia" w:ascii="宋体" w:hAnsi="宋体" w:cs="宋体"/>
                <w:kern w:val="0"/>
                <w:sz w:val="18"/>
                <w:szCs w:val="18"/>
              </w:rPr>
              <w:t>福州翔隆纺织有限公司</w:t>
            </w:r>
          </w:p>
        </w:tc>
        <w:tc>
          <w:tcPr>
            <w:tcW w:w="1577"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after="0" w:line="240" w:lineRule="auto"/>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549,531,631.12</w:t>
            </w:r>
          </w:p>
        </w:tc>
        <w:tc>
          <w:tcPr>
            <w:tcW w:w="14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after="0" w:line="240" w:lineRule="auto"/>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37,667,973.71</w:t>
            </w:r>
          </w:p>
        </w:tc>
        <w:tc>
          <w:tcPr>
            <w:tcW w:w="14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after="0" w:line="240" w:lineRule="auto"/>
              <w:jc w:val="center"/>
              <w:textAlignment w:val="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587,199,604.83</w:t>
            </w:r>
          </w:p>
        </w:tc>
        <w:tc>
          <w:tcPr>
            <w:tcW w:w="34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numPr>
                <w:ilvl w:val="0"/>
                <w:numId w:val="1"/>
              </w:numPr>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抵押物</w:t>
            </w:r>
          </w:p>
          <w:p>
            <w:pPr>
              <w:keepNext w:val="0"/>
              <w:keepLines w:val="0"/>
              <w:widowControl/>
              <w:numPr>
                <w:ilvl w:val="0"/>
                <w:numId w:val="0"/>
              </w:numPr>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1.福州翔隆纺织有限公司名下位于长乐市航城街道里仁工业区的工业厂房, 建筑面积128872.14㎡，土地面积40596.7㎡；</w:t>
            </w:r>
          </w:p>
          <w:p>
            <w:pPr>
              <w:keepNext w:val="0"/>
              <w:keepLines w:val="0"/>
              <w:widowControl/>
              <w:numPr>
                <w:ilvl w:val="0"/>
                <w:numId w:val="0"/>
              </w:numPr>
              <w:suppressLineNumbers w:val="0"/>
              <w:jc w:val="left"/>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2.福州翔隆纺织有限公司名下清梳联、梳棉机组、并条机、粗纱机、储棉机、条并卷等1091台机器设备。</w:t>
            </w:r>
          </w:p>
          <w:p>
            <w:pPr>
              <w:keepNext w:val="0"/>
              <w:keepLines w:val="0"/>
              <w:widowControl/>
              <w:numPr>
                <w:ilvl w:val="0"/>
                <w:numId w:val="1"/>
              </w:numPr>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保证人</w:t>
            </w:r>
          </w:p>
          <w:p>
            <w:pPr>
              <w:keepNext w:val="0"/>
              <w:keepLines w:val="0"/>
              <w:widowControl/>
              <w:suppressLineNumbers w:val="0"/>
              <w:spacing w:after="0" w:line="240" w:lineRule="auto"/>
              <w:jc w:val="left"/>
              <w:textAlignment w:val="auto"/>
              <w:rPr>
                <w:rFonts w:hint="eastAsia" w:ascii="宋体" w:hAnsi="宋体" w:eastAsia="宋体" w:cs="宋体"/>
                <w:i w:val="0"/>
                <w:iCs w:val="0"/>
                <w:kern w:val="0"/>
                <w:sz w:val="18"/>
                <w:szCs w:val="18"/>
                <w:u w:val="none"/>
                <w:lang w:val="en-US" w:eastAsia="zh-CN" w:bidi="ar"/>
              </w:rPr>
            </w:pPr>
            <w:r>
              <w:rPr>
                <w:rFonts w:hint="eastAsia" w:ascii="宋体" w:hAnsi="宋体" w:eastAsia="宋体" w:cs="宋体"/>
                <w:i w:val="0"/>
                <w:color w:val="000000"/>
                <w:kern w:val="0"/>
                <w:sz w:val="20"/>
                <w:szCs w:val="20"/>
                <w:u w:val="none"/>
                <w:lang w:val="en-US" w:eastAsia="zh-CN" w:bidi="ar"/>
              </w:rPr>
              <w:t>福州翔茂织造实业有限公司、福建新棉贸易有限公司、福建恒益纺织有限公司以及自然人刘礼祥、刘玉英</w:t>
            </w:r>
          </w:p>
        </w:tc>
      </w:tr>
      <w:tr>
        <w:tblPrEx>
          <w:tblCellMar>
            <w:top w:w="0" w:type="dxa"/>
            <w:left w:w="108" w:type="dxa"/>
            <w:bottom w:w="0" w:type="dxa"/>
            <w:right w:w="108" w:type="dxa"/>
          </w:tblCellMar>
        </w:tblPrEx>
        <w:trPr>
          <w:trHeight w:val="270" w:hRule="atLeast"/>
          <w:jc w:val="center"/>
        </w:trPr>
        <w:tc>
          <w:tcPr>
            <w:tcW w:w="1533"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after="0"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合计</w:t>
            </w:r>
          </w:p>
        </w:tc>
        <w:tc>
          <w:tcPr>
            <w:tcW w:w="15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after="0" w:line="240" w:lineRule="auto"/>
              <w:jc w:val="center"/>
              <w:textAlignment w:val="auto"/>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549,531,631.12</w:t>
            </w:r>
          </w:p>
        </w:tc>
        <w:tc>
          <w:tcPr>
            <w:tcW w:w="14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after="0" w:line="240" w:lineRule="auto"/>
              <w:jc w:val="center"/>
              <w:textAlignment w:val="auto"/>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37,667,973.71</w:t>
            </w:r>
          </w:p>
        </w:tc>
        <w:tc>
          <w:tcPr>
            <w:tcW w:w="14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after="0" w:line="240" w:lineRule="auto"/>
              <w:jc w:val="center"/>
              <w:textAlignment w:val="auto"/>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587,199,604.83</w:t>
            </w:r>
          </w:p>
        </w:tc>
        <w:tc>
          <w:tcPr>
            <w:tcW w:w="3407" w:type="dxa"/>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spacing w:after="0" w:line="240" w:lineRule="auto"/>
              <w:jc w:val="center"/>
              <w:textAlignment w:val="auto"/>
              <w:rPr>
                <w:rFonts w:hint="eastAsia" w:ascii="宋体" w:hAnsi="宋体" w:eastAsia="宋体" w:cs="宋体"/>
                <w:b/>
                <w:bCs/>
                <w:i w:val="0"/>
                <w:iCs w:val="0"/>
                <w:kern w:val="0"/>
                <w:sz w:val="18"/>
                <w:szCs w:val="18"/>
                <w:u w:val="none"/>
                <w:lang w:val="en-US" w:eastAsia="zh-CN" w:bidi="ar"/>
              </w:rPr>
            </w:pPr>
          </w:p>
        </w:tc>
      </w:tr>
    </w:tbl>
    <w:p>
      <w:pPr>
        <w:pStyle w:val="4"/>
        <w:spacing w:line="560" w:lineRule="exact"/>
        <w:rPr>
          <w:rFonts w:hint="default" w:hAnsi="宋体"/>
          <w:b/>
          <w:sz w:val="24"/>
          <w:highlight w:val="none"/>
        </w:rPr>
      </w:pPr>
      <w:r>
        <w:rPr>
          <w:rFonts w:hAnsi="宋体"/>
          <w:b/>
          <w:sz w:val="24"/>
          <w:highlight w:val="none"/>
        </w:rPr>
        <w:t>注：</w:t>
      </w:r>
    </w:p>
    <w:p>
      <w:pPr>
        <w:pStyle w:val="4"/>
        <w:numPr>
          <w:ilvl w:val="0"/>
          <w:numId w:val="2"/>
        </w:numPr>
        <w:ind w:firstLine="480" w:firstLineChars="200"/>
        <w:rPr>
          <w:rFonts w:hAnsi="宋体"/>
          <w:b/>
          <w:sz w:val="24"/>
          <w:highlight w:val="none"/>
        </w:rPr>
      </w:pPr>
      <w:r>
        <w:rPr>
          <w:rFonts w:hAnsi="宋体"/>
          <w:b/>
          <w:sz w:val="24"/>
          <w:highlight w:val="none"/>
        </w:rPr>
        <w:t>本公告清单列示截至基准日的贷款本金余额，借款人和担保人应支付的利息按借款合同、担保合同及中国人民银行的有关规定计算。</w:t>
      </w:r>
    </w:p>
    <w:p>
      <w:pPr>
        <w:pStyle w:val="4"/>
        <w:ind w:firstLine="482" w:firstLineChars="200"/>
        <w:rPr>
          <w:rFonts w:hAnsi="宋体"/>
          <w:b/>
          <w:sz w:val="24"/>
          <w:highlight w:val="none"/>
        </w:rPr>
      </w:pPr>
      <w:r>
        <w:rPr>
          <w:rFonts w:hint="eastAsia" w:hAnsi="宋体" w:eastAsia="宋体"/>
          <w:b/>
          <w:sz w:val="24"/>
          <w:highlight w:val="none"/>
          <w:lang w:val="en-US" w:eastAsia="zh-CN"/>
        </w:rPr>
        <w:t>2</w:t>
      </w:r>
      <w:r>
        <w:rPr>
          <w:rFonts w:hint="eastAsia" w:hAnsi="宋体" w:eastAsia="宋体"/>
          <w:b/>
          <w:sz w:val="24"/>
          <w:highlight w:val="none"/>
          <w:lang w:eastAsia="zh-CN"/>
        </w:rPr>
        <w:t>.</w:t>
      </w:r>
      <w:r>
        <w:rPr>
          <w:rFonts w:hAnsi="宋体"/>
          <w:b/>
          <w:sz w:val="24"/>
          <w:highlight w:val="none"/>
        </w:rPr>
        <w:t>若债务人、担保人因各种原因发生更名、改制、歇业、吊销营业执照或者丧失民事主体资格等情形，请相关承债主体、清算主体代为履行义务或者承担清算责任。</w:t>
      </w:r>
    </w:p>
    <w:p>
      <w:pPr>
        <w:pStyle w:val="4"/>
        <w:ind w:firstLine="482" w:firstLineChars="200"/>
        <w:rPr>
          <w:rFonts w:hint="eastAsia" w:hAnsi="宋体" w:eastAsia="宋体"/>
          <w:b/>
          <w:sz w:val="24"/>
          <w:highlight w:val="none"/>
          <w:lang w:eastAsia="zh-CN"/>
        </w:rPr>
      </w:pPr>
      <w:r>
        <w:rPr>
          <w:rFonts w:hint="eastAsia" w:hAnsi="宋体" w:eastAsia="宋体"/>
          <w:b/>
          <w:sz w:val="24"/>
          <w:highlight w:val="none"/>
          <w:lang w:val="en-US" w:eastAsia="zh-CN"/>
        </w:rPr>
        <w:t>3.借款人福州翔隆纺织有限公司目前已进入破产程序，按照相关法律规定，企业破产期间暂停计算债务利息。</w:t>
      </w:r>
    </w:p>
    <w:p>
      <w:pPr>
        <w:pStyle w:val="4"/>
        <w:ind w:firstLine="482" w:firstLineChars="200"/>
        <w:rPr>
          <w:rFonts w:hint="default" w:hAnsi="宋体" w:eastAsia="宋体"/>
          <w:b/>
          <w:sz w:val="24"/>
          <w:highlight w:val="none"/>
          <w:lang w:val="en-US" w:eastAsia="zh-CN"/>
        </w:rPr>
      </w:pPr>
    </w:p>
    <w:p>
      <w:pPr>
        <w:rPr>
          <w:rFonts w:hAnsi="宋体"/>
          <w:b/>
          <w:sz w:val="24"/>
          <w:highlight w:val="none"/>
        </w:rPr>
      </w:pPr>
    </w:p>
    <w:p>
      <w:pPr>
        <w:pStyle w:val="4"/>
        <w:spacing w:line="560" w:lineRule="exact"/>
        <w:rPr>
          <w:rFonts w:hint="eastAsia" w:ascii="仿宋_GB2312" w:hAnsi="仿宋_GB2312" w:eastAsia="仿宋_GB2312" w:cs="仿宋_GB2312"/>
          <w:color w:val="000000"/>
          <w:sz w:val="28"/>
          <w:szCs w:val="28"/>
          <w:lang w:eastAsia="zh-CN"/>
        </w:rPr>
      </w:pPr>
    </w:p>
    <w:p>
      <w:pPr>
        <w:pStyle w:val="4"/>
        <w:spacing w:line="560" w:lineRule="exact"/>
        <w:rPr>
          <w:rFonts w:hint="eastAsia" w:ascii="仿宋_GB2312" w:hAnsi="仿宋_GB2312" w:eastAsia="仿宋_GB2312" w:cs="仿宋_GB2312"/>
          <w:color w:val="000000"/>
          <w:sz w:val="28"/>
          <w:szCs w:val="28"/>
          <w:lang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eastAsia="宋体"/>
                              <w:sz w:val="18"/>
                              <w:lang w:eastAsia="zh-CN"/>
                            </w:rPr>
                            <w:fldChar w:fldCharType="begin"/>
                          </w:r>
                          <w:r>
                            <w:rPr>
                              <w:rFonts w:hint="eastAsia" w:eastAsia="宋体"/>
                              <w:sz w:val="18"/>
                              <w:lang w:eastAsia="zh-CN"/>
                            </w:rPr>
                            <w:instrText xml:space="preserve"> PAGE  \* MERGEFORMAT </w:instrText>
                          </w:r>
                          <w:r>
                            <w:rPr>
                              <w:rFonts w:hint="eastAsia" w:eastAsia="宋体"/>
                              <w:sz w:val="18"/>
                              <w:lang w:eastAsia="zh-CN"/>
                            </w:rPr>
                            <w:fldChar w:fldCharType="separate"/>
                          </w:r>
                          <w:r>
                            <w:rPr>
                              <w:rFonts w:hint="eastAsia" w:eastAsia="宋体"/>
                              <w:sz w:val="18"/>
                              <w:lang w:eastAsia="zh-CN"/>
                            </w:rPr>
                            <w:t>1</w:t>
                          </w:r>
                          <w:r>
                            <w:rPr>
                              <w:rFonts w:hint="eastAsia" w:eastAsia="宋体"/>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eastAsia="宋体"/>
                        <w:sz w:val="18"/>
                        <w:lang w:eastAsia="zh-CN"/>
                      </w:rPr>
                      <w:fldChar w:fldCharType="begin"/>
                    </w:r>
                    <w:r>
                      <w:rPr>
                        <w:rFonts w:hint="eastAsia" w:eastAsia="宋体"/>
                        <w:sz w:val="18"/>
                        <w:lang w:eastAsia="zh-CN"/>
                      </w:rPr>
                      <w:instrText xml:space="preserve"> PAGE  \* MERGEFORMAT </w:instrText>
                    </w:r>
                    <w:r>
                      <w:rPr>
                        <w:rFonts w:hint="eastAsia" w:eastAsia="宋体"/>
                        <w:sz w:val="18"/>
                        <w:lang w:eastAsia="zh-CN"/>
                      </w:rPr>
                      <w:fldChar w:fldCharType="separate"/>
                    </w:r>
                    <w:r>
                      <w:rPr>
                        <w:rFonts w:hint="eastAsia" w:eastAsia="宋体"/>
                        <w:sz w:val="18"/>
                        <w:lang w:eastAsia="zh-CN"/>
                      </w:rPr>
                      <w:t>1</w:t>
                    </w:r>
                    <w:r>
                      <w:rPr>
                        <w:rFonts w:hint="eastAsia" w:eastAsia="宋体"/>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8F9B61"/>
    <w:multiLevelType w:val="singleLevel"/>
    <w:tmpl w:val="838F9B61"/>
    <w:lvl w:ilvl="0" w:tentative="0">
      <w:start w:val="1"/>
      <w:numFmt w:val="decimal"/>
      <w:lvlText w:val="%1."/>
      <w:lvlJc w:val="left"/>
      <w:pPr>
        <w:tabs>
          <w:tab w:val="left" w:pos="312"/>
        </w:tabs>
      </w:pPr>
    </w:lvl>
  </w:abstractNum>
  <w:abstractNum w:abstractNumId="1">
    <w:nsid w:val="F93B19AC"/>
    <w:multiLevelType w:val="singleLevel"/>
    <w:tmpl w:val="F93B19AC"/>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FB3567"/>
    <w:rsid w:val="0077105F"/>
    <w:rsid w:val="01DD3C4D"/>
    <w:rsid w:val="027035C2"/>
    <w:rsid w:val="065A7B15"/>
    <w:rsid w:val="07D60B93"/>
    <w:rsid w:val="096A60C3"/>
    <w:rsid w:val="098271EC"/>
    <w:rsid w:val="0BA65D8E"/>
    <w:rsid w:val="0D8A557C"/>
    <w:rsid w:val="0F6B3B6A"/>
    <w:rsid w:val="0FC23735"/>
    <w:rsid w:val="11FB3567"/>
    <w:rsid w:val="12CC2AA5"/>
    <w:rsid w:val="133F56B3"/>
    <w:rsid w:val="16FC733D"/>
    <w:rsid w:val="17F362A9"/>
    <w:rsid w:val="188B7A0D"/>
    <w:rsid w:val="1D9C264E"/>
    <w:rsid w:val="1E7E16A7"/>
    <w:rsid w:val="1F531087"/>
    <w:rsid w:val="201D0F3D"/>
    <w:rsid w:val="21C4383C"/>
    <w:rsid w:val="21FF0C26"/>
    <w:rsid w:val="22764554"/>
    <w:rsid w:val="249A4118"/>
    <w:rsid w:val="26223458"/>
    <w:rsid w:val="27AE5580"/>
    <w:rsid w:val="283C6530"/>
    <w:rsid w:val="2A181491"/>
    <w:rsid w:val="2A200DB5"/>
    <w:rsid w:val="2B3E5BBF"/>
    <w:rsid w:val="2BEA5FBE"/>
    <w:rsid w:val="2EEA65C5"/>
    <w:rsid w:val="2F3C3DEA"/>
    <w:rsid w:val="30B461A6"/>
    <w:rsid w:val="30E402A2"/>
    <w:rsid w:val="314A4FD6"/>
    <w:rsid w:val="32F33D7C"/>
    <w:rsid w:val="36207E8F"/>
    <w:rsid w:val="37DC617F"/>
    <w:rsid w:val="38234165"/>
    <w:rsid w:val="38E458D5"/>
    <w:rsid w:val="39EC6879"/>
    <w:rsid w:val="3A3A169C"/>
    <w:rsid w:val="3C130393"/>
    <w:rsid w:val="3FCB4B2B"/>
    <w:rsid w:val="402A6DB6"/>
    <w:rsid w:val="40970912"/>
    <w:rsid w:val="40AF1DB7"/>
    <w:rsid w:val="41384084"/>
    <w:rsid w:val="41E6483E"/>
    <w:rsid w:val="428E3B2D"/>
    <w:rsid w:val="44F70CDA"/>
    <w:rsid w:val="45ED3300"/>
    <w:rsid w:val="468910CC"/>
    <w:rsid w:val="46DC5A27"/>
    <w:rsid w:val="483C2488"/>
    <w:rsid w:val="4AFE39BA"/>
    <w:rsid w:val="4B11784D"/>
    <w:rsid w:val="4BD97925"/>
    <w:rsid w:val="4C900543"/>
    <w:rsid w:val="4EEE1CA1"/>
    <w:rsid w:val="4FBA155D"/>
    <w:rsid w:val="50504A2B"/>
    <w:rsid w:val="51202D1C"/>
    <w:rsid w:val="52D51956"/>
    <w:rsid w:val="55D90E0F"/>
    <w:rsid w:val="57D57A8C"/>
    <w:rsid w:val="58545052"/>
    <w:rsid w:val="5D0E44E2"/>
    <w:rsid w:val="5D8F4295"/>
    <w:rsid w:val="5E1511ED"/>
    <w:rsid w:val="5ED83F07"/>
    <w:rsid w:val="5F816EFB"/>
    <w:rsid w:val="60E768B2"/>
    <w:rsid w:val="60FA4DF7"/>
    <w:rsid w:val="62225DCE"/>
    <w:rsid w:val="62AC49F7"/>
    <w:rsid w:val="62EB6899"/>
    <w:rsid w:val="650A63BE"/>
    <w:rsid w:val="65723EF6"/>
    <w:rsid w:val="66AA62F3"/>
    <w:rsid w:val="676D3190"/>
    <w:rsid w:val="699A2E3C"/>
    <w:rsid w:val="6AA564F6"/>
    <w:rsid w:val="6C0B503F"/>
    <w:rsid w:val="6E580ED5"/>
    <w:rsid w:val="6F077CB4"/>
    <w:rsid w:val="717D4B12"/>
    <w:rsid w:val="72164496"/>
    <w:rsid w:val="75E8506A"/>
    <w:rsid w:val="76847E08"/>
    <w:rsid w:val="782B4FB4"/>
    <w:rsid w:val="78531130"/>
    <w:rsid w:val="79BD1BBA"/>
    <w:rsid w:val="7ABB25C3"/>
    <w:rsid w:val="7B803C16"/>
    <w:rsid w:val="7C2619F1"/>
    <w:rsid w:val="7C5E7F0B"/>
    <w:rsid w:val="7E377B22"/>
    <w:rsid w:val="7FB25C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imes New Roman" w:cs="Times New Roman"/>
      <w:kern w:val="2"/>
      <w:sz w:val="21"/>
      <w:szCs w:val="24"/>
      <w:lang w:val="en-US" w:eastAsia="zh-CN" w:bidi="ar-SA"/>
    </w:rPr>
  </w:style>
  <w:style w:type="paragraph" w:styleId="2">
    <w:name w:val="heading 3"/>
    <w:basedOn w:val="3"/>
    <w:next w:val="3"/>
    <w:unhideWhenUsed/>
    <w:qFormat/>
    <w:uiPriority w:val="0"/>
    <w:pPr>
      <w:keepNext/>
      <w:keepLines/>
      <w:tabs>
        <w:tab w:val="left" w:pos="1050"/>
      </w:tabs>
      <w:spacing w:before="260" w:after="260" w:line="416" w:lineRule="auto"/>
      <w:outlineLvl w:val="2"/>
    </w:pPr>
    <w:rPr>
      <w:b/>
      <w:bCs/>
      <w:sz w:val="32"/>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tabs>
        <w:tab w:val="left" w:pos="1050"/>
      </w:tabs>
      <w:autoSpaceDE w:val="0"/>
      <w:autoSpaceDN w:val="0"/>
      <w:adjustRightInd w:val="0"/>
      <w:spacing w:line="312" w:lineRule="atLeast"/>
      <w:jc w:val="left"/>
      <w:textAlignment w:val="baseline"/>
    </w:pPr>
    <w:rPr>
      <w:rFonts w:ascii="宋体" w:hAnsi="宋体"/>
      <w:kern w:val="0"/>
      <w:sz w:val="28"/>
      <w:szCs w:val="20"/>
    </w:rPr>
  </w:style>
  <w:style w:type="paragraph" w:styleId="4">
    <w:name w:val="Plain Text"/>
    <w:basedOn w:val="1"/>
    <w:qFormat/>
    <w:uiPriority w:val="0"/>
    <w:rPr>
      <w:rFonts w:hint="eastAsia" w:ascii="宋体" w:hAnsi="Courier New" w:cs="Courier New"/>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SA"/>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font11"/>
    <w:basedOn w:val="10"/>
    <w:qFormat/>
    <w:uiPriority w:val="0"/>
    <w:rPr>
      <w:rFonts w:hint="eastAsia" w:ascii="宋体" w:hAnsi="宋体" w:eastAsia="宋体" w:cs="宋体"/>
      <w:color w:val="000000"/>
      <w:sz w:val="20"/>
      <w:szCs w:val="20"/>
      <w:u w:val="none"/>
    </w:rPr>
  </w:style>
  <w:style w:type="character" w:customStyle="1" w:styleId="12">
    <w:name w:val="font01"/>
    <w:basedOn w:val="10"/>
    <w:qFormat/>
    <w:uiPriority w:val="0"/>
    <w:rPr>
      <w:rFonts w:ascii="Arial" w:hAnsi="Arial" w:cs="Arial"/>
      <w:color w:val="000000"/>
      <w:sz w:val="20"/>
      <w:szCs w:val="20"/>
      <w:u w:val="none"/>
    </w:rPr>
  </w:style>
  <w:style w:type="character" w:customStyle="1" w:styleId="13">
    <w:name w:val="font21"/>
    <w:basedOn w:val="10"/>
    <w:qFormat/>
    <w:uiPriority w:val="0"/>
    <w:rPr>
      <w:rFonts w:hint="eastAsia" w:ascii="宋体" w:hAnsi="宋体" w:eastAsia="宋体" w:cs="宋体"/>
      <w:color w:val="000000"/>
      <w:sz w:val="13"/>
      <w:szCs w:val="13"/>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Office_11.8.0.16981_F1E327BC-269C-435d-A152-05C5408002CA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2018-03-06T14:00:00Z</dcterms:created>
  <dc:creator>石礼忠</dc:creator>
  <cp:lastModifiedBy>冯羽茜</cp:lastModifiedBy>
  <cp:lastPrinted>2021-12-08T08:45:00Z</cp:lastPrinted>
  <dcterms:modified xsi:type="dcterms:W3CDTF">2025-06-04T07:57:14Z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2052-11.8.0.16981</vt:lpwstr>
  </property>
  <property fmtid="{D5CDD505-2E9C-101B-9397-08002B2CF9AE}" pid="3" name="ICV">
    <vt:lpwstr>FB6129E6AB2941838B891C01559FA607</vt:lpwstr>
  </property>
</Properties>
</file>